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0190" w14:textId="221007D2" w:rsidR="00F02892" w:rsidRDefault="00F02892" w:rsidP="00F02892">
      <w:pPr>
        <w:rPr>
          <w:rFonts w:eastAsiaTheme="minorEastAsia"/>
          <w:lang w:val="en-GB"/>
        </w:rPr>
      </w:pPr>
      <w:r w:rsidRPr="00581DFF">
        <w:rPr>
          <w:rFonts w:eastAsiaTheme="minorEastAsia"/>
          <w:lang w:val="en-GB"/>
        </w:rPr>
        <w:t xml:space="preserve">Mathematical </w:t>
      </w:r>
      <w:r>
        <w:rPr>
          <w:rFonts w:eastAsiaTheme="minorEastAsia"/>
          <w:lang w:val="en-GB"/>
        </w:rPr>
        <w:t xml:space="preserve">model </w:t>
      </w:r>
      <w:r>
        <w:rPr>
          <w:rFonts w:eastAsiaTheme="minorEastAsia"/>
          <w:b/>
          <w:bCs/>
          <w:color w:val="FF0000"/>
          <w:lang w:val="en-GB"/>
        </w:rPr>
        <w:t>SINGLE VEHICLE</w:t>
      </w:r>
      <w:r w:rsidRPr="00A93347">
        <w:rPr>
          <w:rFonts w:eastAsiaTheme="minorEastAsia"/>
          <w:b/>
          <w:bCs/>
          <w:color w:val="FF0000"/>
          <w:lang w:val="en-GB"/>
        </w:rPr>
        <w:t xml:space="preserve"> IRP</w:t>
      </w:r>
      <w:r>
        <w:rPr>
          <w:rFonts w:eastAsiaTheme="minorEastAsia"/>
          <w:b/>
          <w:bCs/>
          <w:color w:val="FF0000"/>
          <w:lang w:val="en-GB"/>
        </w:rPr>
        <w:t xml:space="preserve"> </w:t>
      </w:r>
      <w:r w:rsidRPr="00581DFF">
        <w:rPr>
          <w:rFonts w:eastAsiaTheme="minorEastAsia"/>
          <w:lang w:val="en-GB"/>
        </w:rPr>
        <w:t>cost m</w:t>
      </w:r>
      <w:r>
        <w:rPr>
          <w:rFonts w:eastAsiaTheme="minorEastAsia"/>
          <w:lang w:val="en-GB"/>
        </w:rPr>
        <w:t xml:space="preserve">inimization </w:t>
      </w:r>
      <w:r>
        <w:rPr>
          <w:rFonts w:eastAsiaTheme="minorEastAsia"/>
          <w:lang w:val="en-GB"/>
        </w:rPr>
        <w:fldChar w:fldCharType="begin" w:fldLock="1"/>
      </w:r>
      <w:r>
        <w:rPr>
          <w:rFonts w:eastAsiaTheme="minorEastAsia"/>
          <w:lang w:val="en-GB"/>
        </w:rPr>
        <w:instrText>ADDIN CSL_CITATION {"citationItems":[{"id":"ITEM-1","itemData":{"DOI":"10.1007/s13676-013-0027-z","author":[{"dropping-particle":"","family":"Bertazzi","given":"Luca","non-dropping-particle":"","parse-names":false,"suffix":""},{"dropping-particle":"","family":"Speranza","given":"M Grazia","non-dropping-particle":"","parse-names":false,"suffix":""}],"container-title":"EURO journal on transportation and logistics","id":"ITEM-1","issued":{"date-parts":[["2013"]]},"page":"255-275","title":"Inventory routing problems with multiple customers","type":"article-journal"},"uris":["http://www.mendeley.com/documents/?uuid=cbd414a7-ccdf-4c68-8c72-4087e835f38e"]}],"mendeley":{"formattedCitation":"(Bertazzi &amp; Speranza, 2013)","plainTextFormattedCitation":"(Bertazzi &amp; Speranza, 2013)","previouslyFormattedCitation":"(Zhong &amp; Aghezzaf, 2012)"},"properties":{"noteIndex":0},"schema":"https://github.com/citation-style-language/schema/raw/master/csl-citation.json"}</w:instrText>
      </w:r>
      <w:r>
        <w:rPr>
          <w:rFonts w:eastAsiaTheme="minorEastAsia"/>
          <w:lang w:val="en-GB"/>
        </w:rPr>
        <w:fldChar w:fldCharType="separate"/>
      </w:r>
      <w:r w:rsidRPr="004450FC">
        <w:rPr>
          <w:rFonts w:eastAsiaTheme="minorEastAsia"/>
          <w:noProof/>
          <w:lang w:val="en-GB"/>
        </w:rPr>
        <w:t>(Bertazzi &amp; Speranza, 2013)</w:t>
      </w:r>
      <w:r>
        <w:rPr>
          <w:rFonts w:eastAsiaTheme="minorEastAsia"/>
          <w:lang w:val="en-GB"/>
        </w:rPr>
        <w:fldChar w:fldCharType="end"/>
      </w:r>
    </w:p>
    <w:tbl>
      <w:tblPr>
        <w:tblStyle w:val="TableGrid"/>
        <w:tblpPr w:leftFromText="141" w:rightFromText="141" w:vertAnchor="text" w:horzAnchor="margin" w:tblpXSpec="center" w:tblpY="473"/>
        <w:tblW w:w="10201" w:type="dxa"/>
        <w:tblLook w:val="04A0" w:firstRow="1" w:lastRow="0" w:firstColumn="1" w:lastColumn="0" w:noHBand="0" w:noVBand="1"/>
      </w:tblPr>
      <w:tblGrid>
        <w:gridCol w:w="3402"/>
        <w:gridCol w:w="6799"/>
      </w:tblGrid>
      <w:tr w:rsidR="00F02892" w:rsidRPr="0085755E" w14:paraId="7AC451CA" w14:textId="77777777" w:rsidTr="009A50CD">
        <w:tc>
          <w:tcPr>
            <w:tcW w:w="3402" w:type="dxa"/>
          </w:tcPr>
          <w:p w14:paraId="3801CB28" w14:textId="77777777" w:rsidR="00F02892" w:rsidRPr="005F0103" w:rsidRDefault="00F02892" w:rsidP="009A50CD">
            <w:pPr>
              <w:rPr>
                <w:rFonts w:ascii="Times New Roman" w:hAnsi="Times New Roman" w:cs="Times New Roman"/>
                <w:b/>
                <w:bCs/>
                <w:lang w:val="en-GB"/>
              </w:rPr>
            </w:pPr>
            <w:r>
              <w:rPr>
                <w:rFonts w:ascii="Times New Roman" w:hAnsi="Times New Roman" w:cs="Times New Roman"/>
                <w:b/>
                <w:bCs/>
                <w:lang w:val="en-GB"/>
              </w:rPr>
              <w:t>Sets</w:t>
            </w:r>
          </w:p>
        </w:tc>
        <w:tc>
          <w:tcPr>
            <w:tcW w:w="6799" w:type="dxa"/>
          </w:tcPr>
          <w:p w14:paraId="37DB7FD8" w14:textId="77777777" w:rsidR="00F02892" w:rsidRPr="00455A5F" w:rsidRDefault="00F02892" w:rsidP="009A50CD">
            <w:pPr>
              <w:rPr>
                <w:rFonts w:ascii="Times New Roman" w:hAnsi="Times New Roman" w:cs="Times New Roman"/>
                <w:lang w:val="en-GB"/>
              </w:rPr>
            </w:pPr>
          </w:p>
        </w:tc>
      </w:tr>
      <w:tr w:rsidR="00F02892" w:rsidRPr="00DE62BA" w14:paraId="769CD242" w14:textId="77777777" w:rsidTr="009A50CD">
        <w:tc>
          <w:tcPr>
            <w:tcW w:w="3402" w:type="dxa"/>
          </w:tcPr>
          <w:p w14:paraId="5882A7CB" w14:textId="77777777" w:rsidR="00F02892" w:rsidRPr="000E5168" w:rsidRDefault="00F02892" w:rsidP="009A50CD">
            <w:pPr>
              <w:rPr>
                <w:rFonts w:ascii="Times New Roman" w:hAnsi="Times New Roman" w:cs="Times New Roman"/>
                <w:lang w:val="en-GB"/>
              </w:rPr>
            </w:pPr>
            <w:r>
              <w:rPr>
                <w:rFonts w:ascii="Times New Roman" w:hAnsi="Times New Roman" w:cs="Times New Roman"/>
                <w:lang w:val="en-GB"/>
              </w:rPr>
              <w:t>N</w:t>
            </w:r>
          </w:p>
        </w:tc>
        <w:tc>
          <w:tcPr>
            <w:tcW w:w="6799" w:type="dxa"/>
          </w:tcPr>
          <w:p w14:paraId="276C08DD" w14:textId="77777777" w:rsidR="00F02892" w:rsidRPr="00455A5F" w:rsidRDefault="00F02892" w:rsidP="009A50CD">
            <w:pPr>
              <w:rPr>
                <w:rFonts w:ascii="Times New Roman" w:hAnsi="Times New Roman" w:cs="Times New Roman"/>
                <w:lang w:val="en-GB"/>
              </w:rPr>
            </w:pPr>
            <w:r>
              <w:rPr>
                <w:rFonts w:ascii="Times New Roman" w:hAnsi="Times New Roman" w:cs="Times New Roman"/>
                <w:lang w:val="en-GB"/>
              </w:rPr>
              <w:t>Set of nodes {0,1,…, n}</w:t>
            </w:r>
          </w:p>
        </w:tc>
      </w:tr>
      <w:tr w:rsidR="00F02892" w:rsidRPr="00DE62BA" w14:paraId="0E9386AA" w14:textId="77777777" w:rsidTr="009A50CD">
        <w:tc>
          <w:tcPr>
            <w:tcW w:w="3402" w:type="dxa"/>
          </w:tcPr>
          <w:p w14:paraId="793B3538" w14:textId="77777777" w:rsidR="00F02892" w:rsidRDefault="00F02892" w:rsidP="009A50CD">
            <w:pPr>
              <w:rPr>
                <w:rFonts w:ascii="Times New Roman" w:hAnsi="Times New Roman" w:cs="Times New Roman"/>
                <w:lang w:val="en-GB"/>
              </w:rPr>
            </w:pPr>
            <w:r>
              <w:rPr>
                <w:rFonts w:ascii="Times New Roman" w:hAnsi="Times New Roman" w:cs="Times New Roman"/>
                <w:lang w:val="en-GB"/>
              </w:rPr>
              <w:t>N’</w:t>
            </w:r>
          </w:p>
        </w:tc>
        <w:tc>
          <w:tcPr>
            <w:tcW w:w="6799" w:type="dxa"/>
          </w:tcPr>
          <w:p w14:paraId="6F75A04C" w14:textId="77777777" w:rsidR="00F02892" w:rsidRDefault="00F02892" w:rsidP="009A50CD">
            <w:pPr>
              <w:rPr>
                <w:rFonts w:ascii="Times New Roman" w:hAnsi="Times New Roman" w:cs="Times New Roman"/>
                <w:lang w:val="en-GB"/>
              </w:rPr>
            </w:pPr>
            <w:r>
              <w:rPr>
                <w:rFonts w:ascii="Times New Roman" w:hAnsi="Times New Roman" w:cs="Times New Roman"/>
                <w:lang w:val="en-GB"/>
              </w:rPr>
              <w:t>Set of customers</w:t>
            </w:r>
          </w:p>
        </w:tc>
      </w:tr>
      <w:tr w:rsidR="00F02892" w:rsidRPr="00CB7A6A" w14:paraId="2E13A043" w14:textId="77777777" w:rsidTr="009A50CD">
        <w:tc>
          <w:tcPr>
            <w:tcW w:w="3402" w:type="dxa"/>
          </w:tcPr>
          <w:p w14:paraId="4CA1CF65" w14:textId="77777777" w:rsidR="00F02892" w:rsidRPr="000E5168" w:rsidRDefault="00F02892" w:rsidP="009A50CD">
            <w:pPr>
              <w:rPr>
                <w:rFonts w:ascii="Times New Roman" w:hAnsi="Times New Roman" w:cs="Times New Roman"/>
                <w:lang w:val="en-GB"/>
              </w:rPr>
            </w:pPr>
            <w:r w:rsidRPr="000E5168">
              <w:rPr>
                <w:rFonts w:ascii="Times New Roman" w:hAnsi="Times New Roman" w:cs="Times New Roman"/>
                <w:lang w:val="en-GB"/>
              </w:rPr>
              <w:t>T</w:t>
            </w:r>
          </w:p>
        </w:tc>
        <w:tc>
          <w:tcPr>
            <w:tcW w:w="6799" w:type="dxa"/>
          </w:tcPr>
          <w:p w14:paraId="769E32E6" w14:textId="77777777" w:rsidR="00F02892" w:rsidRPr="00455A5F" w:rsidRDefault="00F02892" w:rsidP="009A50CD">
            <w:pPr>
              <w:rPr>
                <w:rFonts w:ascii="Times New Roman" w:hAnsi="Times New Roman" w:cs="Times New Roman"/>
                <w:lang w:val="en-GB"/>
              </w:rPr>
            </w:pPr>
            <w:r>
              <w:rPr>
                <w:rFonts w:ascii="Times New Roman" w:hAnsi="Times New Roman" w:cs="Times New Roman"/>
                <w:lang w:val="en-GB"/>
              </w:rPr>
              <w:t>Set of time periods {1,…, H}</w:t>
            </w:r>
          </w:p>
        </w:tc>
      </w:tr>
      <w:tr w:rsidR="00F02892" w14:paraId="2A251A3A" w14:textId="77777777" w:rsidTr="009A50CD">
        <w:tc>
          <w:tcPr>
            <w:tcW w:w="3402" w:type="dxa"/>
          </w:tcPr>
          <w:p w14:paraId="41F7E3CF" w14:textId="77777777" w:rsidR="00F02892" w:rsidRPr="000E5168" w:rsidRDefault="00F02892" w:rsidP="009A50CD">
            <w:pPr>
              <w:rPr>
                <w:rFonts w:ascii="Times New Roman" w:hAnsi="Times New Roman" w:cs="Times New Roman"/>
                <w:lang w:val="en-GB"/>
              </w:rPr>
            </w:pPr>
            <w:r w:rsidRPr="000E5168">
              <w:rPr>
                <w:rFonts w:ascii="Times New Roman" w:hAnsi="Times New Roman" w:cs="Times New Roman"/>
                <w:b/>
                <w:bCs/>
                <w:lang w:val="en-GB"/>
              </w:rPr>
              <w:t>Parameters</w:t>
            </w:r>
          </w:p>
        </w:tc>
        <w:tc>
          <w:tcPr>
            <w:tcW w:w="6799" w:type="dxa"/>
          </w:tcPr>
          <w:p w14:paraId="5DEB6240" w14:textId="77777777" w:rsidR="00F02892" w:rsidRPr="00455A5F" w:rsidRDefault="00F02892" w:rsidP="009A50CD">
            <w:pPr>
              <w:rPr>
                <w:rFonts w:ascii="Times New Roman" w:hAnsi="Times New Roman" w:cs="Times New Roman"/>
                <w:lang w:val="en-GB"/>
              </w:rPr>
            </w:pPr>
          </w:p>
        </w:tc>
      </w:tr>
      <w:tr w:rsidR="00F02892" w:rsidRPr="00CB7A6A" w14:paraId="6BBCB415" w14:textId="77777777" w:rsidTr="009A50CD">
        <w:tc>
          <w:tcPr>
            <w:tcW w:w="3402" w:type="dxa"/>
          </w:tcPr>
          <w:p w14:paraId="6C6BE8E7" w14:textId="77777777" w:rsidR="00F02892" w:rsidRPr="00A83069" w:rsidRDefault="00F02892" w:rsidP="009A50CD">
            <w:pPr>
              <w:rPr>
                <w:rFonts w:ascii="Cambria Math" w:hAnsi="Cambria Math" w:cs="Times New Roman"/>
                <w:lang w:val="en-GB"/>
              </w:rPr>
            </w:pPr>
            <w:r w:rsidRPr="00A83069">
              <w:rPr>
                <w:rFonts w:ascii="Cambria Math" w:hAnsi="Cambria Math" w:cs="Times New Roman"/>
                <w:lang w:val="en-GB"/>
              </w:rPr>
              <w:t>c</w:t>
            </w:r>
            <w:r w:rsidRPr="00A83069">
              <w:rPr>
                <w:rFonts w:ascii="Cambria Math" w:hAnsi="Cambria Math" w:cs="Times New Roman"/>
                <w:vertAlign w:val="subscript"/>
                <w:lang w:val="en-GB"/>
              </w:rPr>
              <w:t>ij</w:t>
            </w:r>
          </w:p>
        </w:tc>
        <w:tc>
          <w:tcPr>
            <w:tcW w:w="6799" w:type="dxa"/>
          </w:tcPr>
          <w:p w14:paraId="02D2CADA" w14:textId="77777777" w:rsidR="00F02892" w:rsidRPr="00107BA4" w:rsidRDefault="00F02892" w:rsidP="009A50CD">
            <w:pPr>
              <w:rPr>
                <w:rFonts w:ascii="Cambria Math" w:hAnsi="Cambria Math" w:cs="Times New Roman"/>
                <w:lang w:val="en-GB" w:eastAsia="ja-JP"/>
              </w:rPr>
            </w:pPr>
            <w:r>
              <w:rPr>
                <w:rFonts w:ascii="Times New Roman" w:hAnsi="Times New Roman" w:cs="Times New Roman"/>
                <w:lang w:val="en-GB"/>
              </w:rPr>
              <w:t>Travel cost between i and j, i</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N, j</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N</w:t>
            </w:r>
          </w:p>
        </w:tc>
      </w:tr>
      <w:tr w:rsidR="00F02892" w:rsidRPr="00CB7A6A" w14:paraId="1E881511" w14:textId="77777777" w:rsidTr="009A50CD">
        <w:tc>
          <w:tcPr>
            <w:tcW w:w="3402" w:type="dxa"/>
          </w:tcPr>
          <w:p w14:paraId="41556DE3" w14:textId="77777777" w:rsidR="00F02892" w:rsidRPr="00A83069" w:rsidRDefault="00F02892" w:rsidP="009A50CD">
            <w:pPr>
              <w:rPr>
                <w:rFonts w:ascii="Cambria Math" w:hAnsi="Cambria Math" w:cs="Times New Roman"/>
                <w:vertAlign w:val="subscript"/>
                <w:lang w:val="en-GB"/>
              </w:rPr>
            </w:pPr>
            <w:r w:rsidRPr="0007177C">
              <w:rPr>
                <w:rFonts w:ascii="Times New Roman" w:hAnsi="Times New Roman" w:cs="Times New Roman"/>
                <w:lang w:val="en-GB"/>
              </w:rPr>
              <w:t>U</w:t>
            </w:r>
            <w:r w:rsidRPr="00A83069">
              <w:rPr>
                <w:rFonts w:ascii="Cambria Math" w:hAnsi="Cambria Math" w:cs="Times New Roman"/>
                <w:vertAlign w:val="subscript"/>
                <w:lang w:val="en-GB"/>
              </w:rPr>
              <w:t>i</w:t>
            </w:r>
          </w:p>
        </w:tc>
        <w:tc>
          <w:tcPr>
            <w:tcW w:w="6799" w:type="dxa"/>
          </w:tcPr>
          <w:p w14:paraId="0565695F" w14:textId="77777777" w:rsidR="00F02892" w:rsidRPr="00455A5F" w:rsidRDefault="00F02892" w:rsidP="009A50CD">
            <w:pPr>
              <w:rPr>
                <w:rFonts w:ascii="Times New Roman" w:hAnsi="Times New Roman" w:cs="Times New Roman"/>
                <w:lang w:val="en-GB"/>
              </w:rPr>
            </w:pPr>
            <w:r>
              <w:rPr>
                <w:rFonts w:ascii="Times New Roman" w:hAnsi="Times New Roman" w:cs="Times New Roman"/>
                <w:lang w:val="en-GB"/>
              </w:rPr>
              <w:t xml:space="preserve">Max inventory </w:t>
            </w:r>
            <w:proofErr w:type="spellStart"/>
            <w:r>
              <w:rPr>
                <w:rFonts w:ascii="Times New Roman" w:hAnsi="Times New Roman" w:cs="Times New Roman"/>
                <w:lang w:val="en-GB"/>
              </w:rPr>
              <w:t>lvl</w:t>
            </w:r>
            <w:proofErr w:type="spellEnd"/>
            <w:r>
              <w:rPr>
                <w:rFonts w:ascii="Times New Roman" w:hAnsi="Times New Roman" w:cs="Times New Roman"/>
                <w:lang w:val="en-GB"/>
              </w:rPr>
              <w:t xml:space="preserve"> at hand customer can have</w:t>
            </w:r>
          </w:p>
        </w:tc>
      </w:tr>
      <w:tr w:rsidR="00F02892" w:rsidRPr="00CB7A6A" w14:paraId="6B0E9CBE" w14:textId="77777777" w:rsidTr="009A50CD">
        <w:tc>
          <w:tcPr>
            <w:tcW w:w="3402" w:type="dxa"/>
          </w:tcPr>
          <w:p w14:paraId="659CDF73" w14:textId="77777777" w:rsidR="00F02892" w:rsidRPr="0007177C" w:rsidRDefault="00F02892" w:rsidP="009A50CD">
            <w:pPr>
              <w:rPr>
                <w:rFonts w:ascii="Cambria Math" w:hAnsi="Cambria Math" w:cs="Times New Roman"/>
                <w:lang w:val="en-GB"/>
              </w:rPr>
            </w:pPr>
            <w:r w:rsidRPr="0007177C">
              <w:rPr>
                <w:rFonts w:ascii="Cambria Math" w:hAnsi="Cambria Math" w:cs="Times New Roman"/>
                <w:lang w:val="en-GB"/>
              </w:rPr>
              <w:t>r</w:t>
            </w:r>
            <w:r>
              <w:rPr>
                <w:rFonts w:ascii="Cambria Math" w:hAnsi="Cambria Math" w:cs="Times New Roman"/>
                <w:vertAlign w:val="subscript"/>
                <w:lang w:val="en-GB"/>
              </w:rPr>
              <w:t>0t</w:t>
            </w:r>
          </w:p>
        </w:tc>
        <w:tc>
          <w:tcPr>
            <w:tcW w:w="6799" w:type="dxa"/>
          </w:tcPr>
          <w:p w14:paraId="4E353A69" w14:textId="77777777" w:rsidR="00F02892" w:rsidRPr="006873F9" w:rsidRDefault="00F02892" w:rsidP="009A50CD">
            <w:pPr>
              <w:rPr>
                <w:rFonts w:ascii="Cambria Math" w:hAnsi="Cambria Math" w:cs="Times New Roman"/>
                <w:lang w:val="en-GB" w:eastAsia="ja-JP"/>
              </w:rPr>
            </w:pPr>
            <w:r>
              <w:rPr>
                <w:rFonts w:ascii="Times New Roman" w:hAnsi="Times New Roman" w:cs="Times New Roman"/>
                <w:lang w:val="en-GB"/>
              </w:rPr>
              <w:t xml:space="preserve">Number of units made available at depot in day t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T</w:t>
            </w:r>
          </w:p>
        </w:tc>
      </w:tr>
      <w:tr w:rsidR="00F02892" w:rsidRPr="00CB7A6A" w14:paraId="36B0651C" w14:textId="77777777" w:rsidTr="009A50CD">
        <w:tc>
          <w:tcPr>
            <w:tcW w:w="3402" w:type="dxa"/>
          </w:tcPr>
          <w:p w14:paraId="2AA0139F" w14:textId="77777777" w:rsidR="00F02892" w:rsidRPr="006873F9" w:rsidRDefault="00F02892" w:rsidP="009A50CD">
            <w:pPr>
              <w:rPr>
                <w:rFonts w:ascii="Cambria Math" w:hAnsi="Cambria Math" w:cs="Times New Roman"/>
                <w:vertAlign w:val="subscript"/>
                <w:lang w:val="en-GB"/>
              </w:rPr>
            </w:pPr>
            <w:r w:rsidRPr="006873F9">
              <w:rPr>
                <w:rFonts w:ascii="Cambria Math" w:hAnsi="Cambria Math" w:cs="Times New Roman"/>
                <w:lang w:val="en-GB"/>
              </w:rPr>
              <w:t>r</w:t>
            </w:r>
            <w:r>
              <w:rPr>
                <w:rFonts w:ascii="Cambria Math" w:hAnsi="Cambria Math" w:cs="Times New Roman"/>
                <w:vertAlign w:val="subscript"/>
                <w:lang w:val="en-GB"/>
              </w:rPr>
              <w:t>it</w:t>
            </w:r>
          </w:p>
        </w:tc>
        <w:tc>
          <w:tcPr>
            <w:tcW w:w="6799" w:type="dxa"/>
          </w:tcPr>
          <w:p w14:paraId="5A1D7222" w14:textId="77777777" w:rsidR="00F02892" w:rsidRPr="006873F9" w:rsidRDefault="00F02892" w:rsidP="009A50CD">
            <w:pPr>
              <w:rPr>
                <w:rFonts w:ascii="Cambria Math" w:hAnsi="Cambria Math" w:cs="Times New Roman"/>
                <w:lang w:val="en-GB" w:eastAsia="ja-JP"/>
              </w:rPr>
            </w:pPr>
            <w:r>
              <w:rPr>
                <w:rFonts w:ascii="Times New Roman" w:hAnsi="Times New Roman" w:cs="Times New Roman"/>
                <w:lang w:val="en-GB"/>
              </w:rPr>
              <w:t xml:space="preserve">Units consumed at customer i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N’</w:t>
            </w:r>
          </w:p>
        </w:tc>
      </w:tr>
      <w:tr w:rsidR="00F02892" w:rsidRPr="00CB7A6A" w14:paraId="008198B1" w14:textId="77777777" w:rsidTr="009A50CD">
        <w:tc>
          <w:tcPr>
            <w:tcW w:w="3402" w:type="dxa"/>
          </w:tcPr>
          <w:p w14:paraId="2823A616" w14:textId="77777777" w:rsidR="00F02892" w:rsidRPr="00A83069" w:rsidRDefault="00F02892" w:rsidP="009A50CD">
            <w:pPr>
              <w:rPr>
                <w:rFonts w:ascii="Cambria Math" w:hAnsi="Cambria Math" w:cs="Times New Roman"/>
                <w:lang w:val="en-GB"/>
              </w:rPr>
            </w:pPr>
            <w:r>
              <w:rPr>
                <w:rFonts w:ascii="Cambria Math" w:hAnsi="Cambria Math" w:cs="Times New Roman"/>
                <w:lang w:val="en-GB"/>
              </w:rPr>
              <w:t>Q</w:t>
            </w:r>
          </w:p>
        </w:tc>
        <w:tc>
          <w:tcPr>
            <w:tcW w:w="6799" w:type="dxa"/>
          </w:tcPr>
          <w:p w14:paraId="7AA75555" w14:textId="77777777" w:rsidR="00F02892" w:rsidRPr="00455A5F" w:rsidRDefault="00F02892" w:rsidP="009A50CD">
            <w:pPr>
              <w:rPr>
                <w:rFonts w:ascii="Times New Roman" w:hAnsi="Times New Roman" w:cs="Times New Roman"/>
                <w:lang w:val="en-GB"/>
              </w:rPr>
            </w:pPr>
            <w:r>
              <w:rPr>
                <w:rFonts w:ascii="Times New Roman" w:hAnsi="Times New Roman" w:cs="Times New Roman"/>
                <w:lang w:val="en-GB"/>
              </w:rPr>
              <w:t>Available capacity of truck per period</w:t>
            </w:r>
          </w:p>
        </w:tc>
      </w:tr>
      <w:tr w:rsidR="00F02892" w:rsidRPr="00CB7A6A" w14:paraId="6454A0CD" w14:textId="77777777" w:rsidTr="009A50CD">
        <w:tc>
          <w:tcPr>
            <w:tcW w:w="3402" w:type="dxa"/>
          </w:tcPr>
          <w:p w14:paraId="06CB66B1" w14:textId="77777777" w:rsidR="00F02892" w:rsidRPr="00510120" w:rsidRDefault="00F02892" w:rsidP="009A50CD">
            <w:pPr>
              <w:rPr>
                <w:rFonts w:ascii="Cambria Math" w:eastAsia="Calibri" w:hAnsi="Cambria Math" w:cs="Times New Roman"/>
                <w:iCs/>
                <w:lang w:val="en-GB"/>
              </w:rPr>
            </w:pPr>
            <w:proofErr w:type="spellStart"/>
            <w:r>
              <w:rPr>
                <w:rFonts w:ascii="Cambria Math" w:eastAsia="Calibri" w:hAnsi="Cambria Math" w:cs="Times New Roman"/>
                <w:iCs/>
                <w:lang w:val="en-GB"/>
              </w:rPr>
              <w:t>Initial</w:t>
            </w:r>
            <w:r>
              <w:rPr>
                <w:rFonts w:ascii="Cambria Math" w:eastAsia="Calibri" w:hAnsi="Cambria Math" w:cs="Times New Roman"/>
                <w:iCs/>
                <w:vertAlign w:val="subscript"/>
                <w:lang w:val="en-GB"/>
              </w:rPr>
              <w:t>i</w:t>
            </w:r>
            <w:proofErr w:type="spellEnd"/>
          </w:p>
        </w:tc>
        <w:tc>
          <w:tcPr>
            <w:tcW w:w="6799" w:type="dxa"/>
          </w:tcPr>
          <w:p w14:paraId="442F441B" w14:textId="77777777" w:rsidR="00F02892" w:rsidRPr="006272FB" w:rsidRDefault="00F02892" w:rsidP="009A50CD">
            <w:pPr>
              <w:rPr>
                <w:rFonts w:ascii="Cambria Math" w:hAnsi="Cambria Math" w:cs="Times New Roman"/>
                <w:lang w:val="en-GB" w:eastAsia="ja-JP"/>
              </w:rPr>
            </w:pPr>
            <w:r>
              <w:rPr>
                <w:rFonts w:ascii="Times New Roman" w:hAnsi="Times New Roman" w:cs="Times New Roman"/>
                <w:lang w:val="en-GB"/>
              </w:rPr>
              <w:t xml:space="preserve">Initial inventory level i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N</w:t>
            </w:r>
          </w:p>
        </w:tc>
      </w:tr>
      <w:tr w:rsidR="00F02892" w:rsidRPr="00CB7A6A" w14:paraId="01CB0C28" w14:textId="77777777" w:rsidTr="009A50CD">
        <w:tc>
          <w:tcPr>
            <w:tcW w:w="3402" w:type="dxa"/>
          </w:tcPr>
          <w:p w14:paraId="1DA9CAAA" w14:textId="77777777" w:rsidR="00F02892" w:rsidRPr="006272FB" w:rsidRDefault="00F02892" w:rsidP="009A50CD">
            <w:pPr>
              <w:rPr>
                <w:rFonts w:ascii="Cambria Math" w:eastAsia="Calibri" w:hAnsi="Cambria Math" w:cs="Times New Roman"/>
                <w:iCs/>
                <w:lang w:val="en-GB"/>
              </w:rPr>
            </w:pPr>
            <w:r w:rsidRPr="006272FB">
              <w:rPr>
                <w:rFonts w:ascii="Cambria Math" w:eastAsia="Calibri" w:hAnsi="Cambria Math" w:cs="Times New Roman"/>
                <w:iCs/>
                <w:lang w:val="en-GB"/>
              </w:rPr>
              <w:t>h</w:t>
            </w:r>
            <w:r>
              <w:rPr>
                <w:rFonts w:ascii="Cambria Math" w:eastAsia="Calibri" w:hAnsi="Cambria Math" w:cs="Times New Roman"/>
                <w:iCs/>
                <w:vertAlign w:val="subscript"/>
                <w:lang w:val="en-GB"/>
              </w:rPr>
              <w:t>i</w:t>
            </w:r>
          </w:p>
        </w:tc>
        <w:tc>
          <w:tcPr>
            <w:tcW w:w="6799" w:type="dxa"/>
          </w:tcPr>
          <w:p w14:paraId="15D0AEB5" w14:textId="77777777" w:rsidR="00F02892" w:rsidRPr="004F59EA" w:rsidRDefault="00F02892" w:rsidP="009A50CD">
            <w:pPr>
              <w:rPr>
                <w:rFonts w:ascii="Cambria Math" w:hAnsi="Cambria Math" w:cs="Times New Roman"/>
                <w:lang w:val="en-GB" w:eastAsia="ja-JP"/>
              </w:rPr>
            </w:pPr>
            <w:r>
              <w:rPr>
                <w:rFonts w:ascii="Times New Roman" w:hAnsi="Times New Roman" w:cs="Times New Roman"/>
                <w:lang w:val="en-GB"/>
              </w:rPr>
              <w:t xml:space="preserve">Inventory holding cost node i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N</w:t>
            </w:r>
          </w:p>
        </w:tc>
      </w:tr>
      <w:tr w:rsidR="00F02892" w:rsidRPr="000375BB" w14:paraId="5E9BD0A9" w14:textId="77777777" w:rsidTr="009A50CD">
        <w:tc>
          <w:tcPr>
            <w:tcW w:w="3402" w:type="dxa"/>
          </w:tcPr>
          <w:p w14:paraId="659E090F" w14:textId="77777777" w:rsidR="00F02892" w:rsidRPr="000E5168" w:rsidRDefault="00F02892" w:rsidP="009A50CD">
            <w:pPr>
              <w:rPr>
                <w:rFonts w:ascii="Times New Roman" w:hAnsi="Times New Roman" w:cs="Times New Roman"/>
                <w:b/>
                <w:bCs/>
                <w:lang w:val="en-GB"/>
              </w:rPr>
            </w:pPr>
            <w:r w:rsidRPr="000E5168">
              <w:rPr>
                <w:rFonts w:ascii="Times New Roman" w:hAnsi="Times New Roman" w:cs="Times New Roman"/>
                <w:b/>
                <w:bCs/>
                <w:lang w:val="en-GB"/>
              </w:rPr>
              <w:t>Decision Variables</w:t>
            </w:r>
          </w:p>
        </w:tc>
        <w:tc>
          <w:tcPr>
            <w:tcW w:w="6799" w:type="dxa"/>
          </w:tcPr>
          <w:p w14:paraId="7ACE7CEF" w14:textId="77777777" w:rsidR="00F02892" w:rsidRPr="00455A5F" w:rsidRDefault="00F02892" w:rsidP="009A50CD">
            <w:pPr>
              <w:rPr>
                <w:rFonts w:ascii="Times New Roman" w:hAnsi="Times New Roman" w:cs="Times New Roman"/>
                <w:lang w:val="en-GB"/>
              </w:rPr>
            </w:pPr>
          </w:p>
        </w:tc>
      </w:tr>
      <w:tr w:rsidR="00F02892" w:rsidRPr="00CB7A6A" w14:paraId="31082710" w14:textId="77777777" w:rsidTr="009A50CD">
        <w:tc>
          <w:tcPr>
            <w:tcW w:w="3402" w:type="dxa"/>
          </w:tcPr>
          <w:p w14:paraId="1AA0DCB5" w14:textId="77777777" w:rsidR="00F02892" w:rsidRPr="00A83069" w:rsidRDefault="00F02892" w:rsidP="009A50CD">
            <w:pPr>
              <w:rPr>
                <w:rFonts w:ascii="Cambria Math" w:hAnsi="Cambria Math" w:cs="Times New Roman"/>
                <w:vertAlign w:val="subscript"/>
                <w:lang w:val="en-GB"/>
              </w:rPr>
            </w:pPr>
            <w:r w:rsidRPr="00466442">
              <w:rPr>
                <w:rFonts w:ascii="Cambria Math" w:hAnsi="Cambria Math" w:cs="Times New Roman"/>
                <w:lang w:val="en-GB"/>
              </w:rPr>
              <w:t>y</w:t>
            </w:r>
            <w:r w:rsidRPr="00A83069">
              <w:rPr>
                <w:rFonts w:ascii="Cambria Math" w:hAnsi="Cambria Math" w:cs="Times New Roman"/>
                <w:vertAlign w:val="subscript"/>
                <w:lang w:val="en-GB"/>
              </w:rPr>
              <w:t xml:space="preserve">ijt </w:t>
            </w:r>
            <w:r w:rsidRPr="00A83069">
              <w:rPr>
                <w:rFonts w:ascii="Cambria Math" w:hAnsi="Cambria Math" w:cs="Cambria Math"/>
                <w:lang w:val="en-GB"/>
              </w:rPr>
              <w:t>∈</w:t>
            </w:r>
            <w:r w:rsidRPr="00A83069">
              <w:rPr>
                <w:rFonts w:ascii="Cambria Math" w:hAnsi="Cambria Math" w:cs="Times New Roman"/>
                <w:lang w:val="en-GB"/>
              </w:rPr>
              <w:t xml:space="preserve"> </w:t>
            </w:r>
            <w:r>
              <w:rPr>
                <w:rFonts w:ascii="Cambria Math" w:hAnsi="Cambria Math" w:cs="Times New Roman"/>
                <w:lang w:val="en-GB"/>
              </w:rPr>
              <w:t>{0,1}</w:t>
            </w:r>
          </w:p>
        </w:tc>
        <w:tc>
          <w:tcPr>
            <w:tcW w:w="6799" w:type="dxa"/>
          </w:tcPr>
          <w:p w14:paraId="283FC227" w14:textId="77777777" w:rsidR="00F02892" w:rsidRPr="002F1170" w:rsidRDefault="00F02892" w:rsidP="009A50CD">
            <w:pPr>
              <w:rPr>
                <w:rFonts w:ascii="Cambria Math" w:hAnsi="Cambria Math" w:cs="Times New Roman"/>
                <w:lang w:val="en-GB" w:eastAsia="ja-JP"/>
              </w:rPr>
            </w:pPr>
            <w:r>
              <w:rPr>
                <w:rFonts w:ascii="Times New Roman" w:hAnsi="Times New Roman" w:cs="Times New Roman"/>
                <w:lang w:val="en-GB"/>
              </w:rPr>
              <w:t xml:space="preserve">Bin var with value 1 if edge (i,j)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 xml:space="preserve">E is traversed at day t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T (0 otherwise)</w:t>
            </w:r>
          </w:p>
        </w:tc>
      </w:tr>
      <w:tr w:rsidR="00F02892" w:rsidRPr="00CB7A6A" w14:paraId="31B0FA42" w14:textId="77777777" w:rsidTr="009A50CD">
        <w:tc>
          <w:tcPr>
            <w:tcW w:w="3402" w:type="dxa"/>
          </w:tcPr>
          <w:p w14:paraId="20CF62F0" w14:textId="77777777" w:rsidR="00F02892" w:rsidRPr="00A83069" w:rsidRDefault="00F02892" w:rsidP="009A50CD">
            <w:pPr>
              <w:rPr>
                <w:rFonts w:ascii="Cambria Math" w:hAnsi="Cambria Math" w:cs="Times New Roman"/>
                <w:lang w:val="en-GB"/>
              </w:rPr>
            </w:pPr>
            <w:r w:rsidRPr="00466442">
              <w:rPr>
                <w:rFonts w:ascii="Cambria Math" w:hAnsi="Cambria Math" w:cs="Times New Roman"/>
                <w:vertAlign w:val="subscript"/>
                <w:lang w:val="en-GB"/>
              </w:rPr>
              <w:softHyphen/>
            </w:r>
            <w:r w:rsidRPr="00466442">
              <w:rPr>
                <w:rFonts w:ascii="Cambria Math" w:hAnsi="Cambria Math" w:cs="Times New Roman"/>
                <w:lang w:val="en-GB"/>
              </w:rPr>
              <w:t>x</w:t>
            </w:r>
            <w:r>
              <w:rPr>
                <w:rFonts w:ascii="Cambria Math" w:hAnsi="Cambria Math" w:cs="Times New Roman"/>
                <w:vertAlign w:val="subscript"/>
                <w:lang w:val="en-GB"/>
              </w:rPr>
              <w:t>i</w:t>
            </w:r>
            <w:r w:rsidRPr="00466442">
              <w:rPr>
                <w:rFonts w:ascii="Cambria Math" w:hAnsi="Cambria Math" w:cs="Times New Roman"/>
                <w:vertAlign w:val="subscript"/>
                <w:lang w:val="en-GB"/>
              </w:rPr>
              <w:t>t</w:t>
            </w:r>
            <w:r w:rsidRPr="00A83069">
              <w:rPr>
                <w:rFonts w:ascii="Cambria Math" w:hAnsi="Cambria Math" w:cs="Times New Roman"/>
                <w:vertAlign w:val="subscript"/>
                <w:lang w:val="en-GB"/>
              </w:rPr>
              <w:t xml:space="preserve"> </w:t>
            </w:r>
            <w:r w:rsidRPr="00A83069">
              <w:rPr>
                <w:rFonts w:ascii="Cambria Math" w:hAnsi="Cambria Math" w:cs="Cambria Math"/>
                <w:lang w:val="en-GB"/>
              </w:rPr>
              <w:t>∈</w:t>
            </w:r>
            <w:r w:rsidRPr="00A83069">
              <w:rPr>
                <w:rFonts w:ascii="Cambria Math" w:hAnsi="Cambria Math" w:cs="Times New Roman"/>
                <w:lang w:val="en-GB"/>
              </w:rPr>
              <w:t xml:space="preserve"> </w:t>
            </w:r>
            <w:r w:rsidRPr="00A83069">
              <w:rPr>
                <w:rFonts w:ascii="Cambria Math" w:hAnsi="Cambria Math" w:cs="Times New Roman"/>
              </w:rPr>
              <w:t xml:space="preserve"> ℤ</w:t>
            </w:r>
            <w:r w:rsidRPr="00A83069">
              <w:rPr>
                <w:rFonts w:ascii="Cambria Math" w:hAnsi="Cambria Math" w:cs="Times New Roman"/>
                <w:vertAlign w:val="subscript"/>
              </w:rPr>
              <w:t>+</w:t>
            </w:r>
          </w:p>
        </w:tc>
        <w:tc>
          <w:tcPr>
            <w:tcW w:w="6799" w:type="dxa"/>
          </w:tcPr>
          <w:p w14:paraId="4F1347A9" w14:textId="77777777" w:rsidR="00F02892" w:rsidRPr="00CF5A6F" w:rsidRDefault="00F02892" w:rsidP="009A50CD">
            <w:pPr>
              <w:rPr>
                <w:rFonts w:ascii="Cambria Math" w:hAnsi="Cambria Math" w:cs="Times New Roman"/>
                <w:lang w:val="en-GB" w:eastAsia="ja-JP"/>
              </w:rPr>
            </w:pPr>
            <w:r>
              <w:rPr>
                <w:rFonts w:ascii="Times New Roman" w:hAnsi="Times New Roman" w:cs="Times New Roman"/>
                <w:lang w:val="en-GB"/>
              </w:rPr>
              <w:t xml:space="preserve">Quantity delivered to customer i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 xml:space="preserve">N’ at day t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T</w:t>
            </w:r>
          </w:p>
        </w:tc>
      </w:tr>
      <w:tr w:rsidR="00F02892" w:rsidRPr="00CB7A6A" w14:paraId="53116A3F" w14:textId="77777777" w:rsidTr="009A50CD">
        <w:tc>
          <w:tcPr>
            <w:tcW w:w="3402" w:type="dxa"/>
          </w:tcPr>
          <w:p w14:paraId="6D7D83F9" w14:textId="77777777" w:rsidR="00F02892" w:rsidRPr="004B7E11" w:rsidRDefault="00F02892" w:rsidP="009A50CD">
            <w:pPr>
              <w:rPr>
                <w:rFonts w:ascii="Cambria Math" w:hAnsi="Cambria Math" w:cs="Times New Roman"/>
                <w:lang w:val="en-GB"/>
              </w:rPr>
            </w:pPr>
            <w:r w:rsidRPr="004B7E11">
              <w:rPr>
                <w:rFonts w:ascii="Cambria Math" w:hAnsi="Cambria Math" w:cs="Times New Roman"/>
                <w:lang w:val="en-GB"/>
              </w:rPr>
              <w:t>z</w:t>
            </w:r>
            <w:r>
              <w:rPr>
                <w:rFonts w:ascii="Cambria Math" w:hAnsi="Cambria Math" w:cs="Times New Roman"/>
                <w:vertAlign w:val="subscript"/>
                <w:lang w:val="en-GB"/>
              </w:rPr>
              <w:t>it</w:t>
            </w:r>
            <w:r>
              <w:rPr>
                <w:rFonts w:ascii="Cambria Math" w:hAnsi="Cambria Math" w:cs="Times New Roman"/>
                <w:lang w:val="en-GB"/>
              </w:rPr>
              <w:t xml:space="preserve"> </w:t>
            </w:r>
            <w:r w:rsidRPr="00A83069">
              <w:rPr>
                <w:rFonts w:ascii="Cambria Math" w:hAnsi="Cambria Math" w:cs="Cambria Math"/>
                <w:lang w:val="en-GB"/>
              </w:rPr>
              <w:t>∈</w:t>
            </w:r>
            <w:r w:rsidRPr="00A83069">
              <w:rPr>
                <w:rFonts w:ascii="Cambria Math" w:hAnsi="Cambria Math" w:cs="Times New Roman"/>
                <w:lang w:val="en-GB"/>
              </w:rPr>
              <w:t xml:space="preserve"> </w:t>
            </w:r>
            <w:r>
              <w:rPr>
                <w:rFonts w:ascii="Cambria Math" w:hAnsi="Cambria Math" w:cs="Times New Roman"/>
                <w:color w:val="000000"/>
              </w:rPr>
              <w:t>{0,1}</w:t>
            </w:r>
          </w:p>
        </w:tc>
        <w:tc>
          <w:tcPr>
            <w:tcW w:w="6799" w:type="dxa"/>
          </w:tcPr>
          <w:p w14:paraId="033CEB09" w14:textId="77777777" w:rsidR="00F02892" w:rsidRPr="00CF5A6F" w:rsidRDefault="00F02892" w:rsidP="009A50CD">
            <w:pPr>
              <w:rPr>
                <w:rFonts w:ascii="Cambria Math" w:hAnsi="Cambria Math" w:cs="Times New Roman"/>
                <w:lang w:val="en-GB" w:eastAsia="ja-JP"/>
              </w:rPr>
            </w:pPr>
            <w:r>
              <w:rPr>
                <w:rFonts w:ascii="Times New Roman" w:hAnsi="Times New Roman" w:cs="Times New Roman"/>
                <w:lang w:val="en-GB"/>
              </w:rPr>
              <w:t xml:space="preserve">Bin var with value 1 if node i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 xml:space="preserve">N is visited at day t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T (0 otherwise)</w:t>
            </w:r>
          </w:p>
        </w:tc>
      </w:tr>
      <w:tr w:rsidR="00F02892" w:rsidRPr="00CB7A6A" w14:paraId="159AC293" w14:textId="77777777" w:rsidTr="009A50CD">
        <w:tc>
          <w:tcPr>
            <w:tcW w:w="3402" w:type="dxa"/>
          </w:tcPr>
          <w:p w14:paraId="5E25D2A5" w14:textId="77777777" w:rsidR="00F02892" w:rsidRPr="00A83069" w:rsidRDefault="00F02892" w:rsidP="009A50CD">
            <w:pPr>
              <w:rPr>
                <w:rFonts w:ascii="Cambria Math" w:hAnsi="Cambria Math" w:cs="Times New Roman"/>
                <w:lang w:val="en-GB"/>
              </w:rPr>
            </w:pPr>
            <w:r w:rsidRPr="00953C89">
              <w:rPr>
                <w:rFonts w:ascii="Cambria Math" w:hAnsi="Cambria Math" w:cs="Times New Roman"/>
                <w:lang w:val="en-GB"/>
              </w:rPr>
              <w:t>I</w:t>
            </w:r>
            <w:r w:rsidRPr="00A83069">
              <w:rPr>
                <w:rFonts w:ascii="Cambria Math" w:hAnsi="Cambria Math" w:cs="Times New Roman"/>
                <w:vertAlign w:val="subscript"/>
                <w:lang w:val="en-GB"/>
              </w:rPr>
              <w:t>i</w:t>
            </w:r>
            <w:r>
              <w:rPr>
                <w:rFonts w:ascii="Cambria Math" w:hAnsi="Cambria Math" w:cs="Times New Roman"/>
                <w:vertAlign w:val="subscript"/>
                <w:lang w:val="en-GB"/>
              </w:rPr>
              <w:t>t</w:t>
            </w:r>
            <w:r w:rsidRPr="00A83069">
              <w:rPr>
                <w:rFonts w:ascii="Cambria Math" w:hAnsi="Cambria Math" w:cs="Times New Roman"/>
                <w:vertAlign w:val="subscript"/>
                <w:lang w:val="en-GB"/>
              </w:rPr>
              <w:t xml:space="preserve"> </w:t>
            </w:r>
            <w:r w:rsidRPr="00A83069">
              <w:rPr>
                <w:rFonts w:ascii="Cambria Math" w:hAnsi="Cambria Math" w:cs="Cambria Math"/>
                <w:lang w:val="en-GB"/>
              </w:rPr>
              <w:t>∈</w:t>
            </w:r>
            <w:r w:rsidRPr="00A83069">
              <w:rPr>
                <w:rFonts w:ascii="Cambria Math" w:hAnsi="Cambria Math" w:cs="Times New Roman"/>
                <w:lang w:val="en-GB"/>
              </w:rPr>
              <w:t xml:space="preserve"> </w:t>
            </w:r>
            <w:r w:rsidRPr="00A83069">
              <w:rPr>
                <w:rFonts w:ascii="Cambria Math" w:hAnsi="Cambria Math" w:cs="Times New Roman"/>
              </w:rPr>
              <w:t>ℤ</w:t>
            </w:r>
            <w:r w:rsidRPr="00A83069">
              <w:rPr>
                <w:rFonts w:ascii="Cambria Math" w:hAnsi="Cambria Math" w:cs="Times New Roman"/>
                <w:vertAlign w:val="subscript"/>
              </w:rPr>
              <w:t>+</w:t>
            </w:r>
          </w:p>
        </w:tc>
        <w:tc>
          <w:tcPr>
            <w:tcW w:w="6799" w:type="dxa"/>
          </w:tcPr>
          <w:p w14:paraId="6C0EFA07" w14:textId="77777777" w:rsidR="00F02892" w:rsidRPr="002F1170" w:rsidRDefault="00F02892" w:rsidP="009A50CD">
            <w:pPr>
              <w:rPr>
                <w:rFonts w:ascii="Cambria Math" w:hAnsi="Cambria Math" w:cs="Times New Roman"/>
                <w:lang w:val="en-GB" w:eastAsia="ja-JP"/>
              </w:rPr>
            </w:pPr>
            <w:r>
              <w:rPr>
                <w:rFonts w:ascii="Times New Roman" w:hAnsi="Times New Roman" w:cs="Times New Roman"/>
                <w:lang w:val="en-GB"/>
              </w:rPr>
              <w:t xml:space="preserve">Inventory level at node i in N at day t </w:t>
            </w:r>
            <w:r>
              <w:rPr>
                <w:rFonts w:ascii="Cambria Math" w:hAnsi="Cambria Math" w:cs="Times New Roman" w:hint="eastAsia"/>
                <w:lang w:val="en-GB" w:eastAsia="ja-JP"/>
              </w:rPr>
              <w:t>∈</w:t>
            </w:r>
            <w:r>
              <w:rPr>
                <w:rFonts w:ascii="Cambria Math" w:hAnsi="Cambria Math" w:cs="Times New Roman" w:hint="eastAsia"/>
                <w:lang w:val="en-GB" w:eastAsia="ja-JP"/>
              </w:rPr>
              <w:t xml:space="preserve"> </w:t>
            </w:r>
            <w:r>
              <w:rPr>
                <w:rFonts w:ascii="Cambria Math" w:hAnsi="Cambria Math" w:cs="Times New Roman"/>
                <w:lang w:val="en-GB" w:eastAsia="ja-JP"/>
              </w:rPr>
              <w:t>T</w:t>
            </w:r>
          </w:p>
        </w:tc>
      </w:tr>
    </w:tbl>
    <w:p w14:paraId="6D2747C2" w14:textId="77777777" w:rsidR="00F02892" w:rsidRDefault="00F02892" w:rsidP="00F02892">
      <w:pPr>
        <w:rPr>
          <w:rFonts w:eastAsiaTheme="minorEastAsia"/>
          <w:lang w:val="en-GB"/>
        </w:rPr>
      </w:pPr>
    </w:p>
    <w:p w14:paraId="16F8CCD3" w14:textId="77777777" w:rsidR="00F02892" w:rsidRPr="00581DFF" w:rsidRDefault="00F02892" w:rsidP="00F02892">
      <w:pPr>
        <w:rPr>
          <w:rFonts w:eastAsiaTheme="minorEastAsia"/>
          <w:lang w:val="en-GB"/>
        </w:rPr>
      </w:pPr>
      <w:r w:rsidRPr="004450FC">
        <w:rPr>
          <w:rFonts w:eastAsiaTheme="minorEastAsia"/>
          <w:noProof/>
          <w:lang w:val="en-GB"/>
        </w:rPr>
        <w:drawing>
          <wp:anchor distT="0" distB="0" distL="114300" distR="114300" simplePos="0" relativeHeight="251659264" behindDoc="0" locked="0" layoutInCell="1" allowOverlap="1" wp14:anchorId="64265C2D" wp14:editId="2EAB13C6">
            <wp:simplePos x="0" y="0"/>
            <wp:positionH relativeFrom="margin">
              <wp:align>center</wp:align>
            </wp:positionH>
            <wp:positionV relativeFrom="page">
              <wp:posOffset>4968875</wp:posOffset>
            </wp:positionV>
            <wp:extent cx="3843655" cy="377317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3655" cy="3773170"/>
                    </a:xfrm>
                    <a:prstGeom prst="rect">
                      <a:avLst/>
                    </a:prstGeom>
                  </pic:spPr>
                </pic:pic>
              </a:graphicData>
            </a:graphic>
            <wp14:sizeRelH relativeFrom="margin">
              <wp14:pctWidth>0</wp14:pctWidth>
            </wp14:sizeRelH>
            <wp14:sizeRelV relativeFrom="margin">
              <wp14:pctHeight>0</wp14:pctHeight>
            </wp14:sizeRelV>
          </wp:anchor>
        </w:drawing>
      </w:r>
    </w:p>
    <w:p w14:paraId="61D66B21"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Objective function (1): minimize transport costs + inventory costs</w:t>
      </w:r>
    </w:p>
    <w:p w14:paraId="79D8BED4" w14:textId="77777777" w:rsidR="00F02892" w:rsidRPr="00B35969" w:rsidRDefault="00F02892" w:rsidP="00F02892">
      <w:pPr>
        <w:pStyle w:val="ListParagraph"/>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 xml:space="preserve">Determine, for each day t </w:t>
      </w:r>
      <w:r w:rsidRPr="00B35969">
        <w:rPr>
          <w:rFonts w:ascii="Cambria Math" w:eastAsia="Cambria Math" w:hAnsi="Cambria Math" w:cs="Cambria Math"/>
          <w:lang w:val="en-GB" w:eastAsia="ja-JP"/>
        </w:rPr>
        <w:t>∈</w:t>
      </w:r>
      <w:r w:rsidRPr="00B35969">
        <w:rPr>
          <w:rFonts w:ascii="Times New Roman" w:eastAsiaTheme="minorEastAsia" w:hAnsi="Times New Roman" w:cs="Times New Roman"/>
          <w:lang w:val="en-GB"/>
        </w:rPr>
        <w:t xml:space="preserve"> T, the quantity (possibly null) to deliver to each customer i </w:t>
      </w:r>
      <w:r w:rsidRPr="00B35969">
        <w:rPr>
          <w:rFonts w:ascii="Cambria Math" w:eastAsia="Cambria Math" w:hAnsi="Cambria Math" w:cs="Cambria Math"/>
          <w:lang w:val="en-GB" w:eastAsia="ja-JP"/>
        </w:rPr>
        <w:t>∈</w:t>
      </w:r>
      <w:r w:rsidRPr="00B35969">
        <w:rPr>
          <w:rFonts w:ascii="Times New Roman" w:eastAsiaTheme="minorEastAsia" w:hAnsi="Times New Roman" w:cs="Times New Roman"/>
          <w:lang w:val="en-GB"/>
        </w:rPr>
        <w:t xml:space="preserve"> N’ and the routes visiting the customers served at day t, at the minimum total cost.</w:t>
      </w:r>
    </w:p>
    <w:p w14:paraId="0B1DD629"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 xml:space="preserve">Constraint (2), (3): define the inventory level at the depot and at the customers. </w:t>
      </w:r>
    </w:p>
    <w:p w14:paraId="12ADA236"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lastRenderedPageBreak/>
        <w:t>Constraint (4): guarantee that no stock–out occurs at the depot and at the customers.</w:t>
      </w:r>
    </w:p>
    <w:p w14:paraId="2A34B7C0"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 xml:space="preserve">Constraint (5): impose that the inventory level of any customer never exceeds the maximum level. </w:t>
      </w:r>
    </w:p>
    <w:p w14:paraId="437A1B30"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Constraint (6): guarantee that the quantity sent at day t is not greater than the vehicle capacity. Moreover, they impose that if at least one customer is served at day t (that is x</w:t>
      </w:r>
      <w:r w:rsidRPr="00B35969">
        <w:rPr>
          <w:rFonts w:ascii="Times New Roman" w:eastAsiaTheme="minorEastAsia" w:hAnsi="Times New Roman" w:cs="Times New Roman"/>
          <w:vertAlign w:val="subscript"/>
          <w:lang w:val="en-GB"/>
        </w:rPr>
        <w:t>it</w:t>
      </w:r>
      <w:r w:rsidRPr="00B35969">
        <w:rPr>
          <w:rFonts w:ascii="Times New Roman" w:eastAsiaTheme="minorEastAsia" w:hAnsi="Times New Roman" w:cs="Times New Roman"/>
          <w:lang w:val="en-GB"/>
        </w:rPr>
        <w:t xml:space="preserve"> &gt; 0), then the depot is visited at day t (that is z</w:t>
      </w:r>
      <w:r w:rsidRPr="00B35969">
        <w:rPr>
          <w:rFonts w:ascii="Times New Roman" w:eastAsiaTheme="minorEastAsia" w:hAnsi="Times New Roman" w:cs="Times New Roman"/>
          <w:vertAlign w:val="subscript"/>
          <w:lang w:val="en-GB"/>
        </w:rPr>
        <w:t>0t</w:t>
      </w:r>
      <w:r w:rsidRPr="00B35969">
        <w:rPr>
          <w:rFonts w:ascii="Times New Roman" w:eastAsiaTheme="minorEastAsia" w:hAnsi="Times New Roman" w:cs="Times New Roman"/>
          <w:lang w:val="en-GB"/>
        </w:rPr>
        <w:t xml:space="preserve"> = 1).</w:t>
      </w:r>
    </w:p>
    <w:p w14:paraId="3E71E37E"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Constraint (7): guarantee that if customer i is served at day t (that is x</w:t>
      </w:r>
      <w:r w:rsidRPr="00B35969">
        <w:rPr>
          <w:rFonts w:ascii="Times New Roman" w:eastAsiaTheme="minorEastAsia" w:hAnsi="Times New Roman" w:cs="Times New Roman"/>
          <w:vertAlign w:val="subscript"/>
          <w:lang w:val="en-GB"/>
        </w:rPr>
        <w:t>it</w:t>
      </w:r>
      <w:r w:rsidRPr="00B35969">
        <w:rPr>
          <w:rFonts w:ascii="Times New Roman" w:eastAsiaTheme="minorEastAsia" w:hAnsi="Times New Roman" w:cs="Times New Roman"/>
          <w:lang w:val="en-GB"/>
        </w:rPr>
        <w:t xml:space="preserve"> &gt; 0), then customer i is visited at day t (that is z</w:t>
      </w:r>
      <w:r w:rsidRPr="00B35969">
        <w:rPr>
          <w:rFonts w:ascii="Times New Roman" w:eastAsiaTheme="minorEastAsia" w:hAnsi="Times New Roman" w:cs="Times New Roman"/>
          <w:vertAlign w:val="subscript"/>
          <w:lang w:val="en-GB"/>
        </w:rPr>
        <w:t>it</w:t>
      </w:r>
      <w:r w:rsidRPr="00B35969">
        <w:rPr>
          <w:rFonts w:ascii="Times New Roman" w:eastAsiaTheme="minorEastAsia" w:hAnsi="Times New Roman" w:cs="Times New Roman"/>
          <w:lang w:val="en-GB"/>
        </w:rPr>
        <w:t xml:space="preserve"> = 1).</w:t>
      </w:r>
    </w:p>
    <w:p w14:paraId="3231378F"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 xml:space="preserve">Constraint (8), (9): routing constraints that guarantee that a feasible route is determined to visit the customers served at day t. </w:t>
      </w:r>
    </w:p>
    <w:p w14:paraId="252D3A2C" w14:textId="77777777" w:rsidR="00F02892" w:rsidRPr="00B35969" w:rsidRDefault="00F02892" w:rsidP="00F02892">
      <w:pPr>
        <w:pStyle w:val="ListParagraph"/>
        <w:numPr>
          <w:ilvl w:val="1"/>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Constraint (8): impose that two edges incident to i are traversed at time t if customer i is visited at time t.</w:t>
      </w:r>
    </w:p>
    <w:p w14:paraId="531D7FED" w14:textId="77777777" w:rsidR="00F02892" w:rsidRPr="00B35969" w:rsidRDefault="00F02892" w:rsidP="00F02892">
      <w:pPr>
        <w:pStyle w:val="ListParagraph"/>
        <w:numPr>
          <w:ilvl w:val="1"/>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Constraint (9): subtour elimination constraints and impose that, for each customer s visited at time t (z</w:t>
      </w:r>
      <w:r w:rsidRPr="00B35969">
        <w:rPr>
          <w:rFonts w:ascii="Times New Roman" w:eastAsiaTheme="minorEastAsia" w:hAnsi="Times New Roman" w:cs="Times New Roman"/>
          <w:vertAlign w:val="subscript"/>
          <w:lang w:val="en-GB"/>
        </w:rPr>
        <w:t>st</w:t>
      </w:r>
      <w:r w:rsidRPr="00B35969">
        <w:rPr>
          <w:rFonts w:ascii="Times New Roman" w:eastAsiaTheme="minorEastAsia" w:hAnsi="Times New Roman" w:cs="Times New Roman"/>
          <w:lang w:val="en-GB"/>
        </w:rPr>
        <w:t xml:space="preserve"> = 1), no route that visits s at time t can be a cycle that does not visit the depot. Here only some of the customers are visited at any time t </w:t>
      </w:r>
      <w:r w:rsidRPr="00B35969">
        <w:rPr>
          <w:rFonts w:ascii="Cambria Math" w:eastAsia="Cambria Math" w:hAnsi="Cambria Math" w:cs="Cambria Math"/>
          <w:lang w:val="en-GB" w:eastAsia="ja-JP"/>
        </w:rPr>
        <w:t>∈</w:t>
      </w:r>
      <w:r w:rsidRPr="00B35969">
        <w:rPr>
          <w:rFonts w:ascii="Times New Roman" w:eastAsiaTheme="minorEastAsia" w:hAnsi="Times New Roman" w:cs="Times New Roman"/>
          <w:lang w:val="en-GB"/>
        </w:rPr>
        <w:t xml:space="preserve"> T. The right hand side is the number of visited customers in S minus 1 if customer s, with s </w:t>
      </w:r>
      <w:r w:rsidRPr="00B35969">
        <w:rPr>
          <w:rFonts w:ascii="Cambria Math" w:eastAsia="Cambria Math" w:hAnsi="Cambria Math" w:cs="Cambria Math"/>
          <w:lang w:val="en-GB" w:eastAsia="ja-JP"/>
        </w:rPr>
        <w:t>∈</w:t>
      </w:r>
      <w:r w:rsidRPr="00B35969">
        <w:rPr>
          <w:rFonts w:ascii="Times New Roman" w:eastAsiaTheme="minorEastAsia" w:hAnsi="Times New Roman" w:cs="Times New Roman"/>
          <w:lang w:val="en-GB"/>
        </w:rPr>
        <w:t xml:space="preserve"> S; is visited at time t. If customer s is not visited at time t, then the constraint is ineffective.</w:t>
      </w:r>
    </w:p>
    <w:p w14:paraId="2DC18E0D" w14:textId="77777777" w:rsidR="00F02892" w:rsidRPr="00B35969" w:rsidRDefault="00F02892" w:rsidP="00F02892">
      <w:pPr>
        <w:pStyle w:val="ListParagraph"/>
        <w:numPr>
          <w:ilvl w:val="0"/>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Constraint (10),(11),(12),(13): Integrality constraint</w:t>
      </w:r>
    </w:p>
    <w:p w14:paraId="75735239" w14:textId="77777777" w:rsidR="00F02892" w:rsidRPr="00B35969" w:rsidRDefault="00F02892" w:rsidP="00F02892">
      <w:pPr>
        <w:pStyle w:val="ListParagraph"/>
        <w:numPr>
          <w:ilvl w:val="1"/>
          <w:numId w:val="1"/>
        </w:numPr>
        <w:spacing w:line="360" w:lineRule="auto"/>
        <w:rPr>
          <w:rFonts w:ascii="Times New Roman" w:eastAsiaTheme="minorEastAsia" w:hAnsi="Times New Roman" w:cs="Times New Roman"/>
          <w:lang w:val="en-GB"/>
        </w:rPr>
      </w:pPr>
      <w:r w:rsidRPr="00B35969">
        <w:rPr>
          <w:rFonts w:ascii="Times New Roman" w:eastAsiaTheme="minorEastAsia" w:hAnsi="Times New Roman" w:cs="Times New Roman"/>
          <w:lang w:val="en-GB"/>
        </w:rPr>
        <w:t>Constraint (12): the variables y</w:t>
      </w:r>
      <w:r w:rsidRPr="00B35969">
        <w:rPr>
          <w:rFonts w:ascii="Times New Roman" w:eastAsiaTheme="minorEastAsia" w:hAnsi="Times New Roman" w:cs="Times New Roman"/>
          <w:vertAlign w:val="superscript"/>
          <w:lang w:val="en-GB"/>
        </w:rPr>
        <w:t>t</w:t>
      </w:r>
      <w:r w:rsidRPr="00B35969">
        <w:rPr>
          <w:rFonts w:ascii="Times New Roman" w:eastAsiaTheme="minorEastAsia" w:hAnsi="Times New Roman" w:cs="Times New Roman"/>
          <w:vertAlign w:val="subscript"/>
          <w:lang w:val="en-GB"/>
        </w:rPr>
        <w:t>0j</w:t>
      </w:r>
      <w:r w:rsidRPr="00B35969">
        <w:rPr>
          <w:rFonts w:ascii="Times New Roman" w:eastAsiaTheme="minorEastAsia" w:hAnsi="Times New Roman" w:cs="Times New Roman"/>
          <w:lang w:val="en-GB"/>
        </w:rPr>
        <w:t xml:space="preserve"> can take value 2, contrary to all edge variables not incident to the depot. This is due to the fact that there may be routes visiting one customer only and thus traversing an edge twice. The fact that no other edge may be visited more than once in an optimal solution is due to the assumption that the cost matrix satisfies the triangle inequality.</w:t>
      </w:r>
    </w:p>
    <w:p w14:paraId="171FA0C1" w14:textId="77777777" w:rsidR="00245A6E" w:rsidRPr="00F02892" w:rsidRDefault="00245A6E">
      <w:pPr>
        <w:rPr>
          <w:lang w:val="en-GB"/>
        </w:rPr>
      </w:pPr>
    </w:p>
    <w:sectPr w:rsidR="00245A6E" w:rsidRPr="00F02892" w:rsidSect="002E0906">
      <w:pgSz w:w="11906" w:h="16838" w:code="9"/>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08DA"/>
    <w:multiLevelType w:val="hybridMultilevel"/>
    <w:tmpl w:val="91FC04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92"/>
    <w:rsid w:val="00245A6E"/>
    <w:rsid w:val="002E0906"/>
    <w:rsid w:val="007C74B9"/>
    <w:rsid w:val="00AE5782"/>
    <w:rsid w:val="00D61FBF"/>
    <w:rsid w:val="00DC5146"/>
    <w:rsid w:val="00F02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0442"/>
  <w15:chartTrackingRefBased/>
  <w15:docId w15:val="{F9189FEC-3905-4EC6-B0FF-4F6B4599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92"/>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89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3218</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 Devilee</dc:creator>
  <cp:keywords/>
  <dc:description/>
  <cp:lastModifiedBy>Bastiaan Devilee</cp:lastModifiedBy>
  <cp:revision>1</cp:revision>
  <dcterms:created xsi:type="dcterms:W3CDTF">2021-04-28T08:46:00Z</dcterms:created>
  <dcterms:modified xsi:type="dcterms:W3CDTF">2021-04-28T08:47:00Z</dcterms:modified>
</cp:coreProperties>
</file>