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FBD10" w14:textId="68400E90" w:rsidR="00391162" w:rsidRPr="00FB0854" w:rsidRDefault="00B15685" w:rsidP="00FB0854">
      <w:pPr>
        <w:pStyle w:val="Title"/>
        <w:rPr>
          <w:b/>
          <w:bCs/>
          <w:sz w:val="52"/>
          <w:szCs w:val="52"/>
        </w:rPr>
      </w:pPr>
      <w:r>
        <w:rPr>
          <w:b/>
          <w:bCs/>
          <w:noProof/>
          <w:sz w:val="52"/>
          <w:szCs w:val="52"/>
        </w:rPr>
        <w:drawing>
          <wp:anchor distT="0" distB="0" distL="114300" distR="114300" simplePos="0" relativeHeight="251658240" behindDoc="0" locked="0" layoutInCell="1" allowOverlap="1" wp14:anchorId="2B55BE5C" wp14:editId="7805A109">
            <wp:simplePos x="0" y="0"/>
            <wp:positionH relativeFrom="margin">
              <wp:align>left</wp:align>
            </wp:positionH>
            <wp:positionV relativeFrom="paragraph">
              <wp:posOffset>0</wp:posOffset>
            </wp:positionV>
            <wp:extent cx="965200" cy="946150"/>
            <wp:effectExtent l="0" t="0" r="6350" b="6350"/>
            <wp:wrapSquare wrapText="bothSides"/>
            <wp:docPr id="2" name="Picture 2" descr="IBM MQ on Cloud - https://www.ibm.com/cloud/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Q_Imager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2796" cy="954178"/>
                    </a:xfrm>
                    <a:prstGeom prst="rect">
                      <a:avLst/>
                    </a:prstGeom>
                  </pic:spPr>
                </pic:pic>
              </a:graphicData>
            </a:graphic>
            <wp14:sizeRelH relativeFrom="margin">
              <wp14:pctWidth>0</wp14:pctWidth>
            </wp14:sizeRelH>
            <wp14:sizeRelV relativeFrom="margin">
              <wp14:pctHeight>0</wp14:pctHeight>
            </wp14:sizeRelV>
          </wp:anchor>
        </w:drawing>
      </w:r>
      <w:r w:rsidR="002B1AB9">
        <w:rPr>
          <w:b/>
          <w:bCs/>
          <w:noProof/>
          <w:sz w:val="52"/>
          <w:szCs w:val="52"/>
        </w:rPr>
        <w:t>Configuring</w:t>
      </w:r>
      <w:bookmarkStart w:id="0" w:name="_GoBack"/>
      <w:bookmarkEnd w:id="0"/>
      <w:r w:rsidR="00FB0854" w:rsidRPr="00FB0854">
        <w:rPr>
          <w:b/>
          <w:bCs/>
          <w:sz w:val="52"/>
          <w:szCs w:val="52"/>
        </w:rPr>
        <w:t xml:space="preserve"> Client-Channel Definition Tables (CCDT) with IBM MQ on Cloud</w:t>
      </w:r>
    </w:p>
    <w:p w14:paraId="688EB719" w14:textId="2D86E4A8" w:rsidR="00FB0854" w:rsidRDefault="00FB0854">
      <w:r w:rsidRPr="00FB0854">
        <w:rPr>
          <w:b/>
          <w:bCs/>
        </w:rPr>
        <w:t xml:space="preserve">Author: </w:t>
      </w:r>
      <w:r>
        <w:t>Ian Shore (</w:t>
      </w:r>
      <w:hyperlink r:id="rId7" w:history="1">
        <w:r w:rsidRPr="00441701">
          <w:rPr>
            <w:rStyle w:val="Hyperlink"/>
          </w:rPr>
          <w:t>ishore@uk.ibm.com</w:t>
        </w:r>
      </w:hyperlink>
      <w:r>
        <w:t>)</w:t>
      </w:r>
      <w:r w:rsidR="006E6D74">
        <w:t xml:space="preserve"> - IBM</w:t>
      </w:r>
    </w:p>
    <w:p w14:paraId="26797330" w14:textId="7B66513C" w:rsidR="00FB0854" w:rsidRDefault="00FB0854"/>
    <w:p w14:paraId="4CA1FAB3" w14:textId="20A3BE46" w:rsidR="00591864" w:rsidRDefault="00024505" w:rsidP="0024428D">
      <w:pPr>
        <w:rPr>
          <w:lang w:eastAsia="en-GB"/>
        </w:rPr>
      </w:pPr>
      <w:r w:rsidRPr="00024505">
        <w:rPr>
          <w:lang w:eastAsia="en-GB"/>
        </w:rPr>
        <w:t>One of the topics during a recent presentation on 'IBM MQ and configuring for High Availability' covered the theory on improving availability for IBM MQ clients' connectivity using a Client-Channel Definition Table (CCDT). This capability enables a client application to connect to any one of a set of running queue managers (QMs), to improve availability. This article highlights the steps I went through to turn theory into practice, and the learning required to achieve connectivity from my IBM MQ client application to a local IBM MQ QM, an IBM MQ on Cloud QM in London, and an IBM MQ on Cloud QM in US-South (Dallas)</w:t>
      </w:r>
      <w:r w:rsidR="00591864">
        <w:rPr>
          <w:lang w:eastAsia="en-GB"/>
        </w:rPr>
        <w:t>.</w:t>
      </w:r>
    </w:p>
    <w:p w14:paraId="7AA4AA4C" w14:textId="08D5499C" w:rsidR="00024505" w:rsidRPr="00024505" w:rsidRDefault="00024505" w:rsidP="0024428D">
      <w:pPr>
        <w:rPr>
          <w:lang w:eastAsia="en-GB"/>
        </w:rPr>
      </w:pPr>
      <w:r w:rsidRPr="00024505">
        <w:rPr>
          <w:lang w:eastAsia="en-GB"/>
        </w:rPr>
        <w:t xml:space="preserve">In summary, </w:t>
      </w:r>
      <w:r w:rsidR="00F51AD2">
        <w:rPr>
          <w:lang w:eastAsia="en-GB"/>
        </w:rPr>
        <w:t>the areas covered in this article, to setup for CCDT usage are</w:t>
      </w:r>
      <w:r w:rsidRPr="00024505">
        <w:rPr>
          <w:lang w:eastAsia="en-GB"/>
        </w:rPr>
        <w:t>:</w:t>
      </w:r>
    </w:p>
    <w:p w14:paraId="59F90B0D" w14:textId="77777777" w:rsidR="006E6D74" w:rsidRDefault="006E6D74" w:rsidP="0024428D">
      <w:pPr>
        <w:pStyle w:val="ListParagraph"/>
        <w:numPr>
          <w:ilvl w:val="0"/>
          <w:numId w:val="3"/>
        </w:numPr>
        <w:rPr>
          <w:lang w:eastAsia="en-GB"/>
        </w:rPr>
      </w:pPr>
      <w:r>
        <w:rPr>
          <w:lang w:eastAsia="en-GB"/>
        </w:rPr>
        <w:fldChar w:fldCharType="begin"/>
      </w:r>
      <w:r>
        <w:rPr>
          <w:lang w:eastAsia="en-GB"/>
        </w:rPr>
        <w:instrText xml:space="preserve"> REF _Ref44939169 \h </w:instrText>
      </w:r>
      <w:r>
        <w:rPr>
          <w:lang w:eastAsia="en-GB"/>
        </w:rPr>
      </w:r>
      <w:r>
        <w:rPr>
          <w:lang w:eastAsia="en-GB"/>
        </w:rPr>
        <w:fldChar w:fldCharType="separate"/>
      </w:r>
      <w:r>
        <w:t>Defining a CCDT JSON file</w:t>
      </w:r>
      <w:r>
        <w:rPr>
          <w:lang w:eastAsia="en-GB"/>
        </w:rPr>
        <w:fldChar w:fldCharType="end"/>
      </w:r>
    </w:p>
    <w:p w14:paraId="447FAE91" w14:textId="61AC4CAE" w:rsidR="00024505" w:rsidRPr="00024505" w:rsidRDefault="006E6D74" w:rsidP="0024428D">
      <w:pPr>
        <w:pStyle w:val="ListParagraph"/>
        <w:numPr>
          <w:ilvl w:val="0"/>
          <w:numId w:val="3"/>
        </w:numPr>
        <w:rPr>
          <w:lang w:eastAsia="en-GB"/>
        </w:rPr>
      </w:pPr>
      <w:r>
        <w:rPr>
          <w:lang w:eastAsia="en-GB"/>
        </w:rPr>
        <w:fldChar w:fldCharType="begin"/>
      </w:r>
      <w:r>
        <w:rPr>
          <w:lang w:eastAsia="en-GB"/>
        </w:rPr>
        <w:instrText xml:space="preserve"> REF _Ref44939189 \h </w:instrText>
      </w:r>
      <w:r>
        <w:rPr>
          <w:lang w:eastAsia="en-GB"/>
        </w:rPr>
      </w:r>
      <w:r>
        <w:rPr>
          <w:lang w:eastAsia="en-GB"/>
        </w:rPr>
        <w:fldChar w:fldCharType="separate"/>
      </w:r>
      <w:r w:rsidRPr="00024505">
        <w:rPr>
          <w:lang w:eastAsia="en-GB"/>
        </w:rPr>
        <w:t>Coding options in JMS for CCDT usage</w:t>
      </w:r>
      <w:r>
        <w:rPr>
          <w:lang w:eastAsia="en-GB"/>
        </w:rPr>
        <w:fldChar w:fldCharType="end"/>
      </w:r>
    </w:p>
    <w:p w14:paraId="6BC946AD" w14:textId="44C751A8" w:rsidR="006E6D74" w:rsidRPr="00024505" w:rsidRDefault="006E6D74" w:rsidP="00591864">
      <w:pPr>
        <w:pStyle w:val="ListParagraph"/>
        <w:numPr>
          <w:ilvl w:val="0"/>
          <w:numId w:val="3"/>
        </w:numPr>
        <w:rPr>
          <w:lang w:eastAsia="en-GB"/>
        </w:rPr>
      </w:pPr>
      <w:r>
        <w:rPr>
          <w:lang w:eastAsia="en-GB"/>
        </w:rPr>
        <w:fldChar w:fldCharType="begin"/>
      </w:r>
      <w:r>
        <w:rPr>
          <w:lang w:eastAsia="en-GB"/>
        </w:rPr>
        <w:instrText xml:space="preserve"> REF _Ref44939201 \h </w:instrText>
      </w:r>
      <w:r>
        <w:rPr>
          <w:lang w:eastAsia="en-GB"/>
        </w:rPr>
      </w:r>
      <w:r w:rsidR="00A420C9">
        <w:rPr>
          <w:lang w:eastAsia="en-GB"/>
        </w:rPr>
        <w:instrText xml:space="preserve"> \* MERGEFORMAT </w:instrText>
      </w:r>
      <w:r>
        <w:rPr>
          <w:lang w:eastAsia="en-GB"/>
        </w:rPr>
        <w:fldChar w:fldCharType="separate"/>
      </w:r>
      <w:r w:rsidRPr="00024505">
        <w:rPr>
          <w:lang w:eastAsia="en-GB"/>
        </w:rPr>
        <w:t xml:space="preserve">Configuring the </w:t>
      </w:r>
      <w:proofErr w:type="spellStart"/>
      <w:r w:rsidRPr="00A420C9">
        <w:rPr>
          <w:rFonts w:ascii="Courier New" w:hAnsi="Courier New" w:cs="Courier New"/>
          <w:lang w:eastAsia="en-GB"/>
        </w:rPr>
        <w:t>mqccred</w:t>
      </w:r>
      <w:proofErr w:type="spellEnd"/>
      <w:r w:rsidRPr="00024505">
        <w:rPr>
          <w:lang w:eastAsia="en-GB"/>
        </w:rPr>
        <w:t xml:space="preserve"> channel exit</w:t>
      </w:r>
      <w:r>
        <w:rPr>
          <w:lang w:eastAsia="en-GB"/>
        </w:rPr>
        <w:fldChar w:fldCharType="end"/>
      </w:r>
      <w:r w:rsidR="00591864" w:rsidRPr="00024505">
        <w:rPr>
          <w:lang w:eastAsia="en-GB"/>
        </w:rPr>
        <w:t xml:space="preserve"> </w:t>
      </w:r>
    </w:p>
    <w:p w14:paraId="1F4760F6" w14:textId="79B230E2" w:rsidR="00FB0854" w:rsidRDefault="00FB0854" w:rsidP="0024428D"/>
    <w:p w14:paraId="5731DD20" w14:textId="77777777" w:rsidR="00591864" w:rsidRDefault="00591864" w:rsidP="00591864">
      <w:pPr>
        <w:pStyle w:val="Heading1"/>
      </w:pPr>
      <w:bookmarkStart w:id="1" w:name="_Ref44939221"/>
      <w:r>
        <w:t xml:space="preserve">Running the client application using CCDT and </w:t>
      </w:r>
      <w:proofErr w:type="spellStart"/>
      <w:r>
        <w:t>mqccred</w:t>
      </w:r>
      <w:bookmarkEnd w:id="1"/>
      <w:proofErr w:type="spellEnd"/>
    </w:p>
    <w:p w14:paraId="3749C8EE" w14:textId="7EAFDFE1" w:rsidR="00591864" w:rsidRDefault="00591864" w:rsidP="00591864">
      <w:r>
        <w:t>After the client application, CCDT JSON file, and the security exi</w:t>
      </w:r>
      <w:r w:rsidR="003B5604">
        <w:t>t</w:t>
      </w:r>
      <w:r>
        <w:t xml:space="preserve"> </w:t>
      </w:r>
      <w:r w:rsidR="003B5604">
        <w:t>were</w:t>
      </w:r>
      <w:r>
        <w:t xml:space="preserve"> set up (as described in this article), I was able to invoke my JMS client application to put messages to a named QM queue</w:t>
      </w:r>
      <w:r w:rsidR="003B5604">
        <w:t xml:space="preserve"> </w:t>
      </w:r>
      <w:r w:rsidR="00251FD5">
        <w:t>within a</w:t>
      </w:r>
      <w:r w:rsidR="003B5604">
        <w:t xml:space="preserve"> named queue manager group </w:t>
      </w:r>
      <w:r>
        <w:t xml:space="preserve">which </w:t>
      </w:r>
      <w:r w:rsidR="00293A15">
        <w:t>all</w:t>
      </w:r>
      <w:r>
        <w:t xml:space="preserve"> appeared across my available queue managers (at the end of the relevant connections defined in the CCDT). When one of the queue managers was not available, the messages appeared on the other available queue managers.</w:t>
      </w:r>
    </w:p>
    <w:p w14:paraId="24AE2B7A" w14:textId="2AE7A8C0" w:rsidR="00591864" w:rsidRDefault="00591864" w:rsidP="00591864">
      <w:r>
        <w:t xml:space="preserve">Outside of the JMS application, the connections are defined in the CCDT file and the credentials are defined in the mqccred.ini file. </w:t>
      </w:r>
      <w:r>
        <w:fldChar w:fldCharType="begin"/>
      </w:r>
      <w:r>
        <w:instrText xml:space="preserve"> REF _Ref44939048 \h </w:instrText>
      </w:r>
      <w:r>
        <w:fldChar w:fldCharType="separate"/>
      </w:r>
      <w:r>
        <w:t>Figure 1 - Visualisation of CCDT setup</w:t>
      </w:r>
      <w:r>
        <w:fldChar w:fldCharType="end"/>
      </w:r>
      <w:r>
        <w:t xml:space="preserve"> shows how the client connectivity is configured.</w:t>
      </w:r>
    </w:p>
    <w:p w14:paraId="48C6B911" w14:textId="77777777" w:rsidR="00591864" w:rsidRDefault="00591864" w:rsidP="00591864">
      <w:pPr>
        <w:keepNext/>
      </w:pPr>
      <w:r>
        <w:rPr>
          <w:noProof/>
        </w:rPr>
        <w:drawing>
          <wp:inline distT="0" distB="0" distL="0" distR="0" wp14:anchorId="45903381" wp14:editId="4814A452">
            <wp:extent cx="5731510" cy="3223895"/>
            <wp:effectExtent l="19050" t="19050" r="21590" b="1460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10BB7C.tmp"/>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a:ln>
                      <a:solidFill>
                        <a:schemeClr val="accent1"/>
                      </a:solidFill>
                    </a:ln>
                  </pic:spPr>
                </pic:pic>
              </a:graphicData>
            </a:graphic>
          </wp:inline>
        </w:drawing>
      </w:r>
    </w:p>
    <w:p w14:paraId="0AB6A18A" w14:textId="06C969D0" w:rsidR="00591864" w:rsidRDefault="00591864" w:rsidP="00591864">
      <w:pPr>
        <w:pStyle w:val="Caption"/>
      </w:pPr>
      <w:bookmarkStart w:id="2" w:name="_Ref44939048"/>
      <w:r>
        <w:t>Figure 1 - Visualisation of CCDT setup</w:t>
      </w:r>
      <w:bookmarkEnd w:id="2"/>
    </w:p>
    <w:p w14:paraId="440A38CD" w14:textId="77777777" w:rsidR="00591864" w:rsidRDefault="00591864" w:rsidP="0024428D"/>
    <w:p w14:paraId="6ABA7F0C" w14:textId="3E99D9ED" w:rsidR="00024505" w:rsidRDefault="00024505" w:rsidP="00024505">
      <w:pPr>
        <w:pStyle w:val="Heading1"/>
      </w:pPr>
      <w:bookmarkStart w:id="3" w:name="_Ref44939169"/>
      <w:r>
        <w:lastRenderedPageBreak/>
        <w:t>Defining a CCDT</w:t>
      </w:r>
      <w:r w:rsidR="0024428D">
        <w:t xml:space="preserve"> JSON</w:t>
      </w:r>
      <w:r>
        <w:t xml:space="preserve"> file</w:t>
      </w:r>
      <w:bookmarkEnd w:id="3"/>
    </w:p>
    <w:p w14:paraId="23FB4D31" w14:textId="615F6052" w:rsidR="00024505" w:rsidRDefault="00024505" w:rsidP="00024505">
      <w:pPr>
        <w:pStyle w:val="Heading2"/>
      </w:pPr>
      <w:r>
        <w:t>Why use CCDT definitions?</w:t>
      </w:r>
    </w:p>
    <w:p w14:paraId="22FF219A" w14:textId="1C36DC6C" w:rsidR="00024505" w:rsidRDefault="00024505" w:rsidP="0024428D">
      <w:r>
        <w:t>One of the key value</w:t>
      </w:r>
      <w:r w:rsidR="0024428D">
        <w:t xml:space="preserve"> proposition</w:t>
      </w:r>
      <w:r>
        <w:t xml:space="preserve">s of using CCDT definitions is that you can loosely couple </w:t>
      </w:r>
      <w:r w:rsidR="0024428D">
        <w:t>the connectivity</w:t>
      </w:r>
      <w:r w:rsidR="0024428D" w:rsidRPr="0024428D">
        <w:t xml:space="preserve"> </w:t>
      </w:r>
      <w:r w:rsidR="0024428D">
        <w:t>from a client application to an</w:t>
      </w:r>
      <w:r>
        <w:t xml:space="preserve"> available queue manager and its credentials by using </w:t>
      </w:r>
      <w:hyperlink r:id="rId9" w:tgtFrame="_blank" w:history="1">
        <w:r>
          <w:rPr>
            <w:rStyle w:val="Hyperlink"/>
          </w:rPr>
          <w:t>queue manager groups</w:t>
        </w:r>
      </w:hyperlink>
      <w:r w:rsidR="0024428D">
        <w:t xml:space="preserve"> and the </w:t>
      </w:r>
      <w:proofErr w:type="spellStart"/>
      <w:r w:rsidR="0024428D" w:rsidRPr="0024428D">
        <w:rPr>
          <w:rFonts w:ascii="Courier New" w:hAnsi="Courier New" w:cs="Courier New"/>
        </w:rPr>
        <w:t>mqccred</w:t>
      </w:r>
      <w:proofErr w:type="spellEnd"/>
      <w:r w:rsidR="0024428D">
        <w:t xml:space="preserve"> security exit</w:t>
      </w:r>
      <w:r>
        <w:t xml:space="preserve">. </w:t>
      </w:r>
      <w:r w:rsidR="0024428D">
        <w:t xml:space="preserve">There are configuration settings within the CCDT JSON file </w:t>
      </w:r>
      <w:r>
        <w:t xml:space="preserve">to route messages proportionally (with </w:t>
      </w:r>
      <w:hyperlink r:id="rId10" w:tgtFrame="_blank" w:history="1">
        <w:proofErr w:type="spellStart"/>
        <w:r>
          <w:rPr>
            <w:rStyle w:val="Hyperlink"/>
          </w:rPr>
          <w:t>clientWeight</w:t>
        </w:r>
        <w:proofErr w:type="spellEnd"/>
      </w:hyperlink>
      <w:r>
        <w:t xml:space="preserve">) via each of the defined channels with or without channel </w:t>
      </w:r>
      <w:hyperlink r:id="rId11" w:tgtFrame="_blank" w:history="1">
        <w:r>
          <w:rPr>
            <w:rStyle w:val="Hyperlink"/>
          </w:rPr>
          <w:t>affinity</w:t>
        </w:r>
      </w:hyperlink>
      <w:r>
        <w:t xml:space="preserve">. If a queue manager </w:t>
      </w:r>
      <w:r w:rsidR="0024428D">
        <w:t>with</w:t>
      </w:r>
      <w:r>
        <w:t xml:space="preserve">in a </w:t>
      </w:r>
      <w:r w:rsidR="0024428D">
        <w:t xml:space="preserve">QM </w:t>
      </w:r>
      <w:r>
        <w:t xml:space="preserve">group is not available, CCDT connectivity will automatically try another in the </w:t>
      </w:r>
      <w:r w:rsidR="0024428D">
        <w:t xml:space="preserve">QM </w:t>
      </w:r>
      <w:r>
        <w:t>group.</w:t>
      </w:r>
    </w:p>
    <w:p w14:paraId="7FB2CEEE" w14:textId="77777777" w:rsidR="0024428D" w:rsidRDefault="0024428D" w:rsidP="0024428D"/>
    <w:p w14:paraId="098200CB" w14:textId="4DB0C8AB" w:rsidR="0024428D" w:rsidRDefault="0024428D" w:rsidP="0024428D">
      <w:pPr>
        <w:pStyle w:val="Heading2"/>
      </w:pPr>
      <w:r>
        <w:t>What’s in a CCDT JSON file?</w:t>
      </w:r>
    </w:p>
    <w:p w14:paraId="65BB40FB" w14:textId="1A41000E" w:rsidR="0024428D" w:rsidRDefault="0024428D" w:rsidP="0024428D">
      <w:r>
        <w:t>The CCDT JSON file describes connectivity attributes for a channel to connect directly to a specifically named queue manager or to one within a queue manager group.</w:t>
      </w:r>
    </w:p>
    <w:p w14:paraId="1136785F" w14:textId="149DA6C2" w:rsidR="00AB2FBC" w:rsidRDefault="0024428D">
      <w:r>
        <w:t xml:space="preserve">Prior to IBM MQ v9.1.2 CCDT files could only be updated using </w:t>
      </w:r>
      <w:proofErr w:type="spellStart"/>
      <w:r w:rsidRPr="0024428D">
        <w:rPr>
          <w:rFonts w:ascii="Courier New" w:hAnsi="Courier New" w:cs="Courier New"/>
        </w:rPr>
        <w:t>runmqsc</w:t>
      </w:r>
      <w:proofErr w:type="spellEnd"/>
      <w:r>
        <w:t xml:space="preserve"> as they were in a proprietary binary format. However, since </w:t>
      </w:r>
      <w:r w:rsidR="00AB2FBC">
        <w:t xml:space="preserve">IBM MQ </w:t>
      </w:r>
      <w:r>
        <w:t xml:space="preserve">v9.1.2, they can now be created and configured in a </w:t>
      </w:r>
      <w:hyperlink r:id="rId12" w:tgtFrame="_blank" w:history="1">
        <w:r>
          <w:rPr>
            <w:rStyle w:val="Hyperlink"/>
          </w:rPr>
          <w:t>human-readable JSON format</w:t>
        </w:r>
      </w:hyperlink>
      <w:r>
        <w:t xml:space="preserve">. This article is going to focus on exploiting the CCDT </w:t>
      </w:r>
      <w:r w:rsidR="00AB2FBC">
        <w:t xml:space="preserve">JSON </w:t>
      </w:r>
      <w:r>
        <w:t>format.</w:t>
      </w:r>
    </w:p>
    <w:p w14:paraId="5BB8B812" w14:textId="1D4F7262" w:rsidR="0024428D" w:rsidRDefault="0024428D" w:rsidP="0024428D">
      <w:r>
        <w:t xml:space="preserve">IBM MQ on Cloud provides the ability to download a generated (starting point) CCDT </w:t>
      </w:r>
      <w:r w:rsidR="00AB2FBC">
        <w:t xml:space="preserve">JSON file </w:t>
      </w:r>
      <w:r>
        <w:t>from the "Connection information" section</w:t>
      </w:r>
      <w:r w:rsidR="00AB2FBC">
        <w:t xml:space="preserve"> (as shown in </w:t>
      </w:r>
      <w:r w:rsidR="00AB2FBC">
        <w:fldChar w:fldCharType="begin"/>
      </w:r>
      <w:r w:rsidR="00AB2FBC">
        <w:instrText xml:space="preserve"> REF _Ref44929017 \h </w:instrText>
      </w:r>
      <w:r w:rsidR="00AB2FBC">
        <w:fldChar w:fldCharType="separate"/>
      </w:r>
      <w:r w:rsidR="003B5604">
        <w:t xml:space="preserve">Figure 2 - </w:t>
      </w:r>
      <w:r w:rsidR="003B5604">
        <w:rPr>
          <w:noProof/>
        </w:rPr>
        <w:t>Download connection info in IBM MQ on Cloud</w:t>
      </w:r>
      <w:r w:rsidR="00AB2FBC">
        <w:fldChar w:fldCharType="end"/>
      </w:r>
      <w:r w:rsidR="00AB2FBC">
        <w:t>).</w:t>
      </w:r>
    </w:p>
    <w:p w14:paraId="125159CA" w14:textId="77777777" w:rsidR="00AB2FBC" w:rsidRDefault="00AB2FBC" w:rsidP="00AB2FBC">
      <w:pPr>
        <w:keepNext/>
      </w:pPr>
      <w:r>
        <w:rPr>
          <w:noProof/>
        </w:rPr>
        <w:drawing>
          <wp:inline distT="0" distB="0" distL="0" distR="0" wp14:anchorId="714FF30C" wp14:editId="6ABEBA50">
            <wp:extent cx="5731510" cy="2609215"/>
            <wp:effectExtent l="19050" t="19050" r="21590" b="1968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CCDTJSON.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2609215"/>
                    </a:xfrm>
                    <a:prstGeom prst="rect">
                      <a:avLst/>
                    </a:prstGeom>
                    <a:ln>
                      <a:solidFill>
                        <a:schemeClr val="accent1"/>
                      </a:solidFill>
                    </a:ln>
                  </pic:spPr>
                </pic:pic>
              </a:graphicData>
            </a:graphic>
          </wp:inline>
        </w:drawing>
      </w:r>
    </w:p>
    <w:p w14:paraId="11DE39D8" w14:textId="6D24BA91" w:rsidR="00AB2FBC" w:rsidRDefault="00AB2FBC" w:rsidP="00AB2FBC">
      <w:pPr>
        <w:pStyle w:val="Caption"/>
      </w:pPr>
      <w:bookmarkStart w:id="4" w:name="_Ref44929017"/>
      <w:r>
        <w:t xml:space="preserve">Figure </w:t>
      </w:r>
      <w:r w:rsidR="003B5604">
        <w:t>2</w:t>
      </w:r>
      <w:r>
        <w:t xml:space="preserve"> - </w:t>
      </w:r>
      <w:r>
        <w:rPr>
          <w:noProof/>
        </w:rPr>
        <w:t>Download connection info in IBM MQ on Cloud</w:t>
      </w:r>
      <w:bookmarkEnd w:id="4"/>
    </w:p>
    <w:p w14:paraId="0CAB9F6B" w14:textId="77777777" w:rsidR="00AB2FBC" w:rsidRDefault="00AB2FBC" w:rsidP="00AB2FBC">
      <w:r>
        <w:t xml:space="preserve">The attributes that are allowed within this JSON CCDT are all described in the </w:t>
      </w:r>
      <w:hyperlink r:id="rId14" w:tgtFrame="_blank" w:history="1">
        <w:r>
          <w:rPr>
            <w:rStyle w:val="Hyperlink"/>
          </w:rPr>
          <w:t>IBM MQ documentation</w:t>
        </w:r>
      </w:hyperlink>
      <w:r>
        <w:t>. I found the '</w:t>
      </w:r>
      <w:hyperlink r:id="rId15" w:tgtFrame="_blank" w:history="1">
        <w:r>
          <w:rPr>
            <w:rStyle w:val="Hyperlink"/>
          </w:rPr>
          <w:t>Complete list of CCDT channel attribute definitions</w:t>
        </w:r>
      </w:hyperlink>
      <w:r>
        <w:t xml:space="preserve">' very useful when I needed to correctly parent the </w:t>
      </w:r>
      <w:proofErr w:type="spellStart"/>
      <w:r>
        <w:t>ClientWeight</w:t>
      </w:r>
      <w:proofErr w:type="spellEnd"/>
      <w:r>
        <w:t xml:space="preserve"> and Affinity attributes for the channel.</w:t>
      </w:r>
    </w:p>
    <w:p w14:paraId="2F0F84F8" w14:textId="77777777" w:rsidR="00AB2FBC" w:rsidRDefault="00AB2FBC" w:rsidP="00AB2FBC">
      <w:r>
        <w:t>At this point I was able to define JSON objects for three channels, each pointing at a different directly named queue manager, using:</w:t>
      </w:r>
    </w:p>
    <w:p w14:paraId="016CE14F" w14:textId="77777777" w:rsidR="00AB2FBC" w:rsidRPr="00AB2FBC" w:rsidRDefault="00AB2FBC" w:rsidP="00AB2FBC">
      <w:pPr>
        <w:pStyle w:val="ListParagraph"/>
        <w:numPr>
          <w:ilvl w:val="0"/>
          <w:numId w:val="5"/>
        </w:numPr>
        <w:rPr>
          <w:rFonts w:ascii="Courier New" w:hAnsi="Courier New" w:cs="Courier New"/>
        </w:rPr>
      </w:pPr>
      <w:r w:rsidRPr="00AB2FBC">
        <w:rPr>
          <w:rFonts w:ascii="Courier New" w:hAnsi="Courier New" w:cs="Courier New"/>
        </w:rPr>
        <w:t>channel.name</w:t>
      </w:r>
    </w:p>
    <w:p w14:paraId="490C448D" w14:textId="77777777" w:rsidR="00AB2FBC" w:rsidRPr="00AB2FBC" w:rsidRDefault="00AB2FBC" w:rsidP="00AB2FBC">
      <w:pPr>
        <w:pStyle w:val="ListParagraph"/>
        <w:numPr>
          <w:ilvl w:val="0"/>
          <w:numId w:val="5"/>
        </w:numPr>
        <w:rPr>
          <w:rFonts w:ascii="Courier New" w:hAnsi="Courier New" w:cs="Courier New"/>
        </w:rPr>
      </w:pPr>
      <w:proofErr w:type="spellStart"/>
      <w:proofErr w:type="gramStart"/>
      <w:r w:rsidRPr="00AB2FBC">
        <w:rPr>
          <w:rFonts w:ascii="Courier New" w:hAnsi="Courier New" w:cs="Courier New"/>
        </w:rPr>
        <w:t>channel.clientConnection.connection</w:t>
      </w:r>
      <w:proofErr w:type="gramEnd"/>
      <w:r w:rsidRPr="00AB2FBC">
        <w:rPr>
          <w:rFonts w:ascii="Courier New" w:hAnsi="Courier New" w:cs="Courier New"/>
        </w:rPr>
        <w:t>.host</w:t>
      </w:r>
      <w:proofErr w:type="spellEnd"/>
    </w:p>
    <w:p w14:paraId="76AEBF8B" w14:textId="77777777" w:rsidR="00AB2FBC" w:rsidRPr="00AB2FBC" w:rsidRDefault="00AB2FBC" w:rsidP="00AB2FBC">
      <w:pPr>
        <w:pStyle w:val="ListParagraph"/>
        <w:numPr>
          <w:ilvl w:val="0"/>
          <w:numId w:val="5"/>
        </w:numPr>
        <w:rPr>
          <w:rFonts w:ascii="Courier New" w:hAnsi="Courier New" w:cs="Courier New"/>
        </w:rPr>
      </w:pPr>
      <w:proofErr w:type="spellStart"/>
      <w:proofErr w:type="gramStart"/>
      <w:r w:rsidRPr="00AB2FBC">
        <w:rPr>
          <w:rFonts w:ascii="Courier New" w:hAnsi="Courier New" w:cs="Courier New"/>
        </w:rPr>
        <w:t>channel.clientConnection.connection</w:t>
      </w:r>
      <w:proofErr w:type="gramEnd"/>
      <w:r w:rsidRPr="00AB2FBC">
        <w:rPr>
          <w:rFonts w:ascii="Courier New" w:hAnsi="Courier New" w:cs="Courier New"/>
        </w:rPr>
        <w:t>.port</w:t>
      </w:r>
      <w:proofErr w:type="spellEnd"/>
    </w:p>
    <w:p w14:paraId="28F73980" w14:textId="77777777" w:rsidR="00AB2FBC" w:rsidRPr="00AB2FBC" w:rsidRDefault="00AB2FBC" w:rsidP="00AB2FBC">
      <w:pPr>
        <w:pStyle w:val="ListParagraph"/>
        <w:numPr>
          <w:ilvl w:val="0"/>
          <w:numId w:val="5"/>
        </w:numPr>
        <w:rPr>
          <w:rFonts w:ascii="Courier New" w:hAnsi="Courier New" w:cs="Courier New"/>
        </w:rPr>
      </w:pPr>
      <w:proofErr w:type="spellStart"/>
      <w:proofErr w:type="gramStart"/>
      <w:r w:rsidRPr="00AB2FBC">
        <w:rPr>
          <w:rFonts w:ascii="Courier New" w:hAnsi="Courier New" w:cs="Courier New"/>
        </w:rPr>
        <w:t>channel.clientConnection.queueManager</w:t>
      </w:r>
      <w:proofErr w:type="spellEnd"/>
      <w:proofErr w:type="gramEnd"/>
    </w:p>
    <w:p w14:paraId="2F659CAC" w14:textId="77777777" w:rsidR="00AB2FBC" w:rsidRDefault="00AB2FBC" w:rsidP="00AB2FBC">
      <w:pPr>
        <w:pStyle w:val="ListParagraph"/>
        <w:numPr>
          <w:ilvl w:val="0"/>
          <w:numId w:val="5"/>
        </w:numPr>
      </w:pPr>
      <w:proofErr w:type="spellStart"/>
      <w:proofErr w:type="gramStart"/>
      <w:r w:rsidRPr="00AB2FBC">
        <w:rPr>
          <w:rFonts w:ascii="Courier New" w:hAnsi="Courier New" w:cs="Courier New"/>
        </w:rPr>
        <w:t>channel.type</w:t>
      </w:r>
      <w:proofErr w:type="spellEnd"/>
      <w:proofErr w:type="gramEnd"/>
    </w:p>
    <w:p w14:paraId="120F197F" w14:textId="1C7E8277" w:rsidR="0024428D" w:rsidRDefault="0024428D" w:rsidP="00AB2FBC"/>
    <w:p w14:paraId="37E71A9D" w14:textId="77777777" w:rsidR="00DA6CCB" w:rsidRPr="00024505" w:rsidRDefault="00DA6CCB" w:rsidP="00DA6CCB">
      <w:pPr>
        <w:pStyle w:val="Heading1"/>
        <w:rPr>
          <w:rFonts w:eastAsia="Times New Roman"/>
          <w:lang w:eastAsia="en-GB"/>
        </w:rPr>
      </w:pPr>
      <w:bookmarkStart w:id="5" w:name="_Ref44939189"/>
      <w:r w:rsidRPr="00024505">
        <w:rPr>
          <w:rFonts w:eastAsia="Times New Roman"/>
          <w:lang w:eastAsia="en-GB"/>
        </w:rPr>
        <w:lastRenderedPageBreak/>
        <w:t>Coding options in JMS for CCDT usage</w:t>
      </w:r>
      <w:bookmarkEnd w:id="5"/>
    </w:p>
    <w:p w14:paraId="3C5FD032" w14:textId="4082DD8E" w:rsidR="00AB2FBC" w:rsidRDefault="00AB2FBC" w:rsidP="00DA6CCB">
      <w:pPr>
        <w:pStyle w:val="Heading2"/>
      </w:pPr>
      <w:r>
        <w:t xml:space="preserve">JMS code to use </w:t>
      </w:r>
      <w:r w:rsidR="00DA6CCB">
        <w:t>a</w:t>
      </w:r>
      <w:r>
        <w:t xml:space="preserve"> CCDT file</w:t>
      </w:r>
    </w:p>
    <w:p w14:paraId="71A7B5FF" w14:textId="0D0EF970" w:rsidR="00AB2FBC" w:rsidRPr="00AB2FBC" w:rsidRDefault="00AB2FBC" w:rsidP="006E6D74">
      <w:pPr>
        <w:rPr>
          <w:lang w:eastAsia="en-GB"/>
        </w:rPr>
      </w:pPr>
      <w:r w:rsidRPr="00AB2FBC">
        <w:rPr>
          <w:lang w:eastAsia="en-GB"/>
        </w:rPr>
        <w:t xml:space="preserve">To exploit this CCDT </w:t>
      </w:r>
      <w:r w:rsidR="00DA6CCB">
        <w:rPr>
          <w:lang w:eastAsia="en-GB"/>
        </w:rPr>
        <w:t xml:space="preserve">JSON </w:t>
      </w:r>
      <w:r w:rsidRPr="00AB2FBC">
        <w:rPr>
          <w:lang w:eastAsia="en-GB"/>
        </w:rPr>
        <w:t xml:space="preserve">file in your JMS client code, where </w:t>
      </w:r>
      <w:r w:rsidRPr="00AB2FBC">
        <w:rPr>
          <w:rFonts w:ascii="Courier New" w:hAnsi="Courier New" w:cs="Courier New"/>
          <w:lang w:eastAsia="en-GB"/>
        </w:rPr>
        <w:t>factory</w:t>
      </w:r>
      <w:r w:rsidRPr="00AB2FBC">
        <w:rPr>
          <w:lang w:eastAsia="en-GB"/>
        </w:rPr>
        <w:t xml:space="preserve"> is a </w:t>
      </w:r>
      <w:proofErr w:type="spellStart"/>
      <w:r w:rsidRPr="00AB2FBC">
        <w:rPr>
          <w:rFonts w:ascii="Courier New" w:hAnsi="Courier New" w:cs="Courier New"/>
          <w:lang w:eastAsia="en-GB"/>
        </w:rPr>
        <w:t>MQConnectionFactory</w:t>
      </w:r>
      <w:proofErr w:type="spellEnd"/>
      <w:r w:rsidRPr="00AB2FBC">
        <w:rPr>
          <w:lang w:eastAsia="en-GB"/>
        </w:rPr>
        <w:t xml:space="preserve"> object, you need to:</w:t>
      </w:r>
    </w:p>
    <w:p w14:paraId="49FDF6A4" w14:textId="3463253A" w:rsidR="00AB2FBC" w:rsidRPr="00AB2FBC" w:rsidRDefault="00AB2FBC" w:rsidP="006E6D74">
      <w:pPr>
        <w:pStyle w:val="ListParagraph"/>
        <w:numPr>
          <w:ilvl w:val="0"/>
          <w:numId w:val="12"/>
        </w:numPr>
        <w:rPr>
          <w:lang w:eastAsia="en-GB"/>
        </w:rPr>
      </w:pPr>
      <w:r w:rsidRPr="00AB2FBC">
        <w:rPr>
          <w:lang w:eastAsia="en-GB"/>
        </w:rPr>
        <w:t xml:space="preserve">reference the CCDT </w:t>
      </w:r>
      <w:r w:rsidR="00DA6CCB">
        <w:rPr>
          <w:lang w:eastAsia="en-GB"/>
        </w:rPr>
        <w:t xml:space="preserve">JSON </w:t>
      </w:r>
      <w:r w:rsidRPr="00AB2FBC">
        <w:rPr>
          <w:lang w:eastAsia="en-GB"/>
        </w:rPr>
        <w:t xml:space="preserve">file using </w:t>
      </w:r>
      <w:proofErr w:type="spellStart"/>
      <w:proofErr w:type="gramStart"/>
      <w:r w:rsidRPr="006E6D74">
        <w:rPr>
          <w:rFonts w:ascii="Courier New" w:hAnsi="Courier New" w:cs="Courier New"/>
          <w:lang w:eastAsia="en-GB"/>
        </w:rPr>
        <w:t>factory.setCCDTURL</w:t>
      </w:r>
      <w:proofErr w:type="spellEnd"/>
      <w:proofErr w:type="gramEnd"/>
      <w:r w:rsidRPr="00AB2FBC">
        <w:rPr>
          <w:lang w:eastAsia="en-GB"/>
        </w:rPr>
        <w:t xml:space="preserve"> and choose which specific queue manager using </w:t>
      </w:r>
      <w:proofErr w:type="spellStart"/>
      <w:r w:rsidRPr="006E6D74">
        <w:rPr>
          <w:rFonts w:ascii="Courier New" w:hAnsi="Courier New" w:cs="Courier New"/>
          <w:lang w:eastAsia="en-GB"/>
        </w:rPr>
        <w:t>factory.setQueueManager</w:t>
      </w:r>
      <w:proofErr w:type="spellEnd"/>
      <w:r w:rsidR="00753EAC" w:rsidRPr="00753EAC">
        <w:rPr>
          <w:lang w:eastAsia="en-GB"/>
        </w:rPr>
        <w:t xml:space="preserve"> </w:t>
      </w:r>
      <w:r w:rsidR="00753EAC">
        <w:rPr>
          <w:lang w:eastAsia="en-GB"/>
        </w:rPr>
        <w:t xml:space="preserve">(Note: this can be a </w:t>
      </w:r>
      <w:r w:rsidR="00753EAC" w:rsidRPr="00AB2FBC">
        <w:rPr>
          <w:lang w:eastAsia="en-GB"/>
        </w:rPr>
        <w:t>queue manager</w:t>
      </w:r>
      <w:r w:rsidR="00753EAC">
        <w:rPr>
          <w:lang w:eastAsia="en-GB"/>
        </w:rPr>
        <w:t xml:space="preserve"> group name – see below)</w:t>
      </w:r>
    </w:p>
    <w:p w14:paraId="2EEBC6EC" w14:textId="5F4202FC" w:rsidR="00AB2FBC" w:rsidRPr="00AB2FBC" w:rsidRDefault="00AB2FBC" w:rsidP="006E6D74">
      <w:pPr>
        <w:pStyle w:val="ListParagraph"/>
        <w:numPr>
          <w:ilvl w:val="0"/>
          <w:numId w:val="12"/>
        </w:numPr>
        <w:rPr>
          <w:lang w:eastAsia="en-GB"/>
        </w:rPr>
      </w:pPr>
      <w:r w:rsidRPr="00AB2FBC">
        <w:rPr>
          <w:lang w:eastAsia="en-GB"/>
        </w:rPr>
        <w:t>remove</w:t>
      </w:r>
      <w:r w:rsidR="00753EAC">
        <w:rPr>
          <w:lang w:eastAsia="en-GB"/>
        </w:rPr>
        <w:t xml:space="preserve"> any</w:t>
      </w:r>
      <w:r w:rsidRPr="00AB2FBC">
        <w:rPr>
          <w:lang w:eastAsia="en-GB"/>
        </w:rPr>
        <w:t xml:space="preserve"> usage of </w:t>
      </w:r>
      <w:proofErr w:type="spellStart"/>
      <w:proofErr w:type="gramStart"/>
      <w:r w:rsidRPr="006E6D74">
        <w:rPr>
          <w:rFonts w:ascii="Courier New" w:hAnsi="Courier New" w:cs="Courier New"/>
          <w:lang w:eastAsia="en-GB"/>
        </w:rPr>
        <w:t>factory.setHost</w:t>
      </w:r>
      <w:proofErr w:type="spellEnd"/>
      <w:proofErr w:type="gramEnd"/>
      <w:r w:rsidRPr="00AB2FBC">
        <w:rPr>
          <w:lang w:eastAsia="en-GB"/>
        </w:rPr>
        <w:t xml:space="preserve">, </w:t>
      </w:r>
      <w:proofErr w:type="spellStart"/>
      <w:r w:rsidRPr="006E6D74">
        <w:rPr>
          <w:rFonts w:ascii="Courier New" w:hAnsi="Courier New" w:cs="Courier New"/>
          <w:lang w:eastAsia="en-GB"/>
        </w:rPr>
        <w:t>factory.setPort</w:t>
      </w:r>
      <w:proofErr w:type="spellEnd"/>
      <w:r w:rsidRPr="00AB2FBC">
        <w:rPr>
          <w:lang w:eastAsia="en-GB"/>
        </w:rPr>
        <w:t xml:space="preserve">, and </w:t>
      </w:r>
      <w:proofErr w:type="spellStart"/>
      <w:r w:rsidRPr="006E6D74">
        <w:rPr>
          <w:rFonts w:ascii="Courier New" w:hAnsi="Courier New" w:cs="Courier New"/>
          <w:lang w:eastAsia="en-GB"/>
        </w:rPr>
        <w:t>factory.setChannel</w:t>
      </w:r>
      <w:proofErr w:type="spellEnd"/>
      <w:r w:rsidRPr="00AB2FBC">
        <w:rPr>
          <w:lang w:eastAsia="en-GB"/>
        </w:rPr>
        <w:t xml:space="preserve"> </w:t>
      </w:r>
      <w:r w:rsidR="00753EAC">
        <w:rPr>
          <w:lang w:eastAsia="en-GB"/>
        </w:rPr>
        <w:t xml:space="preserve">- </w:t>
      </w:r>
      <w:r w:rsidRPr="00AB2FBC">
        <w:rPr>
          <w:lang w:eastAsia="en-GB"/>
        </w:rPr>
        <w:t>as th</w:t>
      </w:r>
      <w:r w:rsidR="00753EAC">
        <w:rPr>
          <w:lang w:eastAsia="en-GB"/>
        </w:rPr>
        <w:t>e</w:t>
      </w:r>
      <w:r w:rsidRPr="00AB2FBC">
        <w:rPr>
          <w:lang w:eastAsia="en-GB"/>
        </w:rPr>
        <w:t xml:space="preserve">se settings </w:t>
      </w:r>
      <w:r w:rsidR="00753EAC">
        <w:rPr>
          <w:lang w:eastAsia="en-GB"/>
        </w:rPr>
        <w:t>will be</w:t>
      </w:r>
      <w:r w:rsidRPr="00AB2FBC">
        <w:rPr>
          <w:lang w:eastAsia="en-GB"/>
        </w:rPr>
        <w:t xml:space="preserve"> pulled from the CCDT </w:t>
      </w:r>
      <w:r w:rsidR="00753EAC">
        <w:rPr>
          <w:lang w:eastAsia="en-GB"/>
        </w:rPr>
        <w:t xml:space="preserve">JSON </w:t>
      </w:r>
      <w:r w:rsidRPr="00AB2FBC">
        <w:rPr>
          <w:lang w:eastAsia="en-GB"/>
        </w:rPr>
        <w:t>file</w:t>
      </w:r>
    </w:p>
    <w:p w14:paraId="263B214E" w14:textId="4765339D" w:rsidR="00AB2FBC" w:rsidRDefault="00AB2FBC" w:rsidP="006E6D74">
      <w:pPr>
        <w:rPr>
          <w:lang w:eastAsia="en-GB"/>
        </w:rPr>
      </w:pPr>
      <w:r w:rsidRPr="00AB2FBC">
        <w:rPr>
          <w:lang w:eastAsia="en-GB"/>
        </w:rPr>
        <w:t xml:space="preserve">At this point connection credentials still need to be passed in via the </w:t>
      </w:r>
      <w:proofErr w:type="spellStart"/>
      <w:proofErr w:type="gramStart"/>
      <w:r w:rsidRPr="00AB2FBC">
        <w:rPr>
          <w:rFonts w:ascii="Courier New" w:hAnsi="Courier New" w:cs="Courier New"/>
          <w:lang w:eastAsia="en-GB"/>
        </w:rPr>
        <w:t>factory.createConnection</w:t>
      </w:r>
      <w:proofErr w:type="spellEnd"/>
      <w:proofErr w:type="gramEnd"/>
      <w:r w:rsidRPr="00AB2FBC">
        <w:rPr>
          <w:lang w:eastAsia="en-GB"/>
        </w:rPr>
        <w:t xml:space="preserve"> method.</w:t>
      </w:r>
      <w:r w:rsidR="00753EAC">
        <w:rPr>
          <w:lang w:eastAsia="en-GB"/>
        </w:rPr>
        <w:t xml:space="preserve"> We will introduce the security exit later in this article to pull in credentials from </w:t>
      </w:r>
      <w:r w:rsidR="00753EAC" w:rsidRPr="00753EAC">
        <w:rPr>
          <w:rFonts w:ascii="Courier New" w:hAnsi="Courier New" w:cs="Courier New"/>
          <w:lang w:eastAsia="en-GB"/>
        </w:rPr>
        <w:t>mqccred.ini</w:t>
      </w:r>
      <w:r w:rsidR="00753EAC">
        <w:rPr>
          <w:lang w:eastAsia="en-GB"/>
        </w:rPr>
        <w:t>.</w:t>
      </w:r>
    </w:p>
    <w:p w14:paraId="1079ECBF" w14:textId="77777777" w:rsidR="00753EAC" w:rsidRPr="00AB2FBC" w:rsidRDefault="00753EAC" w:rsidP="006E6D74">
      <w:pPr>
        <w:rPr>
          <w:lang w:eastAsia="en-GB"/>
        </w:rPr>
      </w:pPr>
    </w:p>
    <w:p w14:paraId="0C6A3100" w14:textId="77777777" w:rsidR="00753EAC" w:rsidRDefault="00753EAC" w:rsidP="00753EAC">
      <w:pPr>
        <w:pStyle w:val="Heading2"/>
      </w:pPr>
      <w:r>
        <w:t>Creating a queue manager group</w:t>
      </w:r>
    </w:p>
    <w:p w14:paraId="60E6796E" w14:textId="28555B2D" w:rsidR="00753EAC" w:rsidRDefault="00753EAC" w:rsidP="00753EAC">
      <w:r>
        <w:t xml:space="preserve">Up this this point, you should be able to use the CCDT file to connect to one specific queue manager, and connectivity credentials are hardcoded in the JMS client code. What is required is for a queue manager to be chosen transparently for the JMS client code from a </w:t>
      </w:r>
      <w:r w:rsidRPr="00753EAC">
        <w:rPr>
          <w:b/>
          <w:bCs/>
        </w:rPr>
        <w:t>queue manager group</w:t>
      </w:r>
      <w:r>
        <w:t xml:space="preserve"> so that it does not need to be named directly in the JMS code. The only changes that are needed to achieve this are:</w:t>
      </w:r>
    </w:p>
    <w:p w14:paraId="04CD6627" w14:textId="6F2C186E" w:rsidR="00753EAC" w:rsidRDefault="00753EAC" w:rsidP="00753EAC">
      <w:pPr>
        <w:pStyle w:val="ListParagraph"/>
        <w:numPr>
          <w:ilvl w:val="0"/>
          <w:numId w:val="8"/>
        </w:numPr>
      </w:pPr>
      <w:r>
        <w:t xml:space="preserve">Modify all </w:t>
      </w:r>
      <w:proofErr w:type="spellStart"/>
      <w:proofErr w:type="gramStart"/>
      <w:r w:rsidRPr="00753EAC">
        <w:rPr>
          <w:rFonts w:ascii="Courier New" w:hAnsi="Courier New" w:cs="Courier New"/>
        </w:rPr>
        <w:t>channel.clientConnection.queueManager</w:t>
      </w:r>
      <w:proofErr w:type="spellEnd"/>
      <w:proofErr w:type="gramEnd"/>
      <w:r>
        <w:t xml:space="preserve"> entries in the CCDT JSON file to be the same name, and</w:t>
      </w:r>
    </w:p>
    <w:p w14:paraId="56D49CF1" w14:textId="05D134E0" w:rsidR="00753EAC" w:rsidRDefault="00753EAC" w:rsidP="00753EAC">
      <w:pPr>
        <w:pStyle w:val="ListParagraph"/>
        <w:numPr>
          <w:ilvl w:val="0"/>
          <w:numId w:val="8"/>
        </w:numPr>
      </w:pPr>
      <w:r>
        <w:t xml:space="preserve">Update the </w:t>
      </w:r>
      <w:proofErr w:type="spellStart"/>
      <w:proofErr w:type="gramStart"/>
      <w:r w:rsidRPr="00753EAC">
        <w:rPr>
          <w:rFonts w:ascii="Courier New" w:hAnsi="Courier New" w:cs="Courier New"/>
        </w:rPr>
        <w:t>factory.setQueueManager</w:t>
      </w:r>
      <w:proofErr w:type="spellEnd"/>
      <w:proofErr w:type="gramEnd"/>
      <w:r>
        <w:t xml:space="preserve"> in the JMS code to be the same value except prefix the name with an asterisk.</w:t>
      </w:r>
    </w:p>
    <w:p w14:paraId="35959AED" w14:textId="311B71EF" w:rsidR="00753EAC" w:rsidRDefault="00753EAC" w:rsidP="00753EAC">
      <w:r>
        <w:t xml:space="preserve">At this point, everything worked as expected; it kept failing with authentication errors! We now need to introduce the channel security exit, </w:t>
      </w:r>
      <w:proofErr w:type="spellStart"/>
      <w:r>
        <w:rPr>
          <w:rStyle w:val="Strong"/>
        </w:rPr>
        <w:t>mqccred</w:t>
      </w:r>
      <w:proofErr w:type="spellEnd"/>
      <w:r>
        <w:t>.</w:t>
      </w:r>
    </w:p>
    <w:p w14:paraId="0DB7DBB2" w14:textId="4377B62C" w:rsidR="00AB2FBC" w:rsidRDefault="00AB2FBC" w:rsidP="00AB2FBC"/>
    <w:p w14:paraId="5030CF29" w14:textId="77777777" w:rsidR="00300259" w:rsidRDefault="00300259" w:rsidP="00300259">
      <w:pPr>
        <w:pStyle w:val="Heading2"/>
      </w:pPr>
      <w:r>
        <w:t>Weighting where messages are sent</w:t>
      </w:r>
    </w:p>
    <w:p w14:paraId="7B8833D4" w14:textId="5DED11DE" w:rsidR="00300259" w:rsidRDefault="00300259" w:rsidP="00300259">
      <w:r>
        <w:t>There are two main settings to control how the CCDT-enabled code chooses which client connection to select:</w:t>
      </w:r>
    </w:p>
    <w:p w14:paraId="33394759" w14:textId="77777777" w:rsidR="00300259" w:rsidRPr="00300259" w:rsidRDefault="00300259" w:rsidP="00300259">
      <w:pPr>
        <w:pStyle w:val="ListParagraph"/>
        <w:numPr>
          <w:ilvl w:val="0"/>
          <w:numId w:val="11"/>
        </w:numPr>
        <w:rPr>
          <w:rFonts w:ascii="Courier New" w:hAnsi="Courier New" w:cs="Courier New"/>
        </w:rPr>
      </w:pPr>
      <w:proofErr w:type="spellStart"/>
      <w:proofErr w:type="gramStart"/>
      <w:r w:rsidRPr="00300259">
        <w:rPr>
          <w:rFonts w:ascii="Courier New" w:hAnsi="Courier New" w:cs="Courier New"/>
        </w:rPr>
        <w:t>channel.connectionManagement.clientWeight</w:t>
      </w:r>
      <w:proofErr w:type="spellEnd"/>
      <w:proofErr w:type="gramEnd"/>
    </w:p>
    <w:p w14:paraId="3772FA93" w14:textId="77777777" w:rsidR="00300259" w:rsidRPr="00300259" w:rsidRDefault="00300259" w:rsidP="00300259">
      <w:pPr>
        <w:pStyle w:val="ListParagraph"/>
        <w:numPr>
          <w:ilvl w:val="0"/>
          <w:numId w:val="11"/>
        </w:numPr>
        <w:rPr>
          <w:rFonts w:ascii="Courier New" w:hAnsi="Courier New" w:cs="Courier New"/>
        </w:rPr>
      </w:pPr>
      <w:proofErr w:type="spellStart"/>
      <w:proofErr w:type="gramStart"/>
      <w:r w:rsidRPr="00300259">
        <w:rPr>
          <w:rFonts w:ascii="Courier New" w:hAnsi="Courier New" w:cs="Courier New"/>
        </w:rPr>
        <w:t>channel.connectionManagement.affinity</w:t>
      </w:r>
      <w:proofErr w:type="spellEnd"/>
      <w:proofErr w:type="gramEnd"/>
    </w:p>
    <w:p w14:paraId="510399B1" w14:textId="3411286F" w:rsidR="00300259" w:rsidRDefault="00300259" w:rsidP="00300259">
      <w:r>
        <w:t xml:space="preserve">These values alter how a specific channel connection is selected. If, for example, each </w:t>
      </w:r>
      <w:proofErr w:type="spellStart"/>
      <w:r w:rsidRPr="00300259">
        <w:rPr>
          <w:rFonts w:ascii="Courier New" w:hAnsi="Courier New" w:cs="Courier New"/>
        </w:rPr>
        <w:t>clientWeight</w:t>
      </w:r>
      <w:proofErr w:type="spellEnd"/>
      <w:r>
        <w:t xml:space="preserve"> is the same non-zero value and </w:t>
      </w:r>
      <w:r w:rsidRPr="00300259">
        <w:rPr>
          <w:rFonts w:ascii="Courier New" w:hAnsi="Courier New" w:cs="Courier New"/>
        </w:rPr>
        <w:t>affinity</w:t>
      </w:r>
      <w:r>
        <w:t xml:space="preserve"> is </w:t>
      </w:r>
      <w:r w:rsidRPr="00300259">
        <w:rPr>
          <w:rFonts w:ascii="Courier New" w:hAnsi="Courier New" w:cs="Courier New"/>
        </w:rPr>
        <w:t>NONE</w:t>
      </w:r>
      <w:r>
        <w:t xml:space="preserve">, then messages will tend towards being evenly distributed across all the available queue manager connections in the queue manager group. The </w:t>
      </w:r>
      <w:hyperlink r:id="rId16" w:tgtFrame="_blank" w:history="1">
        <w:r>
          <w:rPr>
            <w:rStyle w:val="Hyperlink"/>
          </w:rPr>
          <w:t xml:space="preserve">IBM MQ knowledge </w:t>
        </w:r>
        <w:proofErr w:type="spellStart"/>
        <w:r>
          <w:rPr>
            <w:rStyle w:val="Hyperlink"/>
          </w:rPr>
          <w:t>center</w:t>
        </w:r>
        <w:proofErr w:type="spellEnd"/>
        <w:r>
          <w:rPr>
            <w:rStyle w:val="Hyperlink"/>
          </w:rPr>
          <w:t xml:space="preserve"> documentation</w:t>
        </w:r>
      </w:hyperlink>
      <w:r>
        <w:t xml:space="preserve"> provides more detail.</w:t>
      </w:r>
    </w:p>
    <w:p w14:paraId="629488C7" w14:textId="77777777" w:rsidR="00300259" w:rsidRDefault="00300259" w:rsidP="00AB2FBC"/>
    <w:p w14:paraId="4E27BC3C" w14:textId="3A6789E2" w:rsidR="00753EAC" w:rsidRPr="00024505" w:rsidRDefault="00753EAC" w:rsidP="00300259">
      <w:pPr>
        <w:pStyle w:val="Heading1"/>
        <w:rPr>
          <w:rFonts w:eastAsia="Times New Roman"/>
          <w:lang w:eastAsia="en-GB"/>
        </w:rPr>
      </w:pPr>
      <w:bookmarkStart w:id="6" w:name="_Ref44939201"/>
      <w:r w:rsidRPr="00024505">
        <w:rPr>
          <w:rFonts w:eastAsia="Times New Roman"/>
          <w:lang w:eastAsia="en-GB"/>
        </w:rPr>
        <w:t xml:space="preserve">Configuring the </w:t>
      </w:r>
      <w:proofErr w:type="spellStart"/>
      <w:r w:rsidRPr="00A420C9">
        <w:rPr>
          <w:rFonts w:ascii="Courier New" w:eastAsia="Times New Roman" w:hAnsi="Courier New" w:cs="Courier New"/>
          <w:lang w:eastAsia="en-GB"/>
        </w:rPr>
        <w:t>mqccred</w:t>
      </w:r>
      <w:proofErr w:type="spellEnd"/>
      <w:r w:rsidRPr="00024505">
        <w:rPr>
          <w:rFonts w:eastAsia="Times New Roman"/>
          <w:lang w:eastAsia="en-GB"/>
        </w:rPr>
        <w:t xml:space="preserve"> channel exit</w:t>
      </w:r>
      <w:bookmarkEnd w:id="6"/>
    </w:p>
    <w:p w14:paraId="50883804" w14:textId="77777777" w:rsidR="00300259" w:rsidRDefault="00300259" w:rsidP="00300259">
      <w:pPr>
        <w:pStyle w:val="Heading2"/>
      </w:pPr>
      <w:r>
        <w:t xml:space="preserve">Defining the channel security exit, </w:t>
      </w:r>
      <w:proofErr w:type="spellStart"/>
      <w:r>
        <w:t>mqccred</w:t>
      </w:r>
      <w:proofErr w:type="spellEnd"/>
    </w:p>
    <w:p w14:paraId="14D9DEDA" w14:textId="7A623DFF" w:rsidR="00300259" w:rsidRDefault="00300259" w:rsidP="00591864">
      <w:r>
        <w:t xml:space="preserve">The channel security exit, </w:t>
      </w:r>
      <w:proofErr w:type="spellStart"/>
      <w:r>
        <w:t>mqccred</w:t>
      </w:r>
      <w:proofErr w:type="spellEnd"/>
      <w:r>
        <w:t xml:space="preserve"> is used to supply credentials on the channel when connecting to a specific queue manager. </w:t>
      </w:r>
      <w:proofErr w:type="spellStart"/>
      <w:r>
        <w:t>mqccred</w:t>
      </w:r>
      <w:proofErr w:type="spellEnd"/>
      <w:r>
        <w:t xml:space="preserve"> picks up the real name of the queue manager during connection time and then attempts to retrieve the appropriate credentials from</w:t>
      </w:r>
      <w:hyperlink r:id="rId17" w:tgtFrame="_blank" w:history="1">
        <w:r>
          <w:rPr>
            <w:rStyle w:val="Hyperlink"/>
          </w:rPr>
          <w:t xml:space="preserve"> the </w:t>
        </w:r>
        <w:r w:rsidRPr="00300259">
          <w:rPr>
            <w:rStyle w:val="Hyperlink"/>
            <w:rFonts w:ascii="Courier New" w:hAnsi="Courier New" w:cs="Courier New"/>
          </w:rPr>
          <w:t xml:space="preserve">mqccred.ini </w:t>
        </w:r>
        <w:r>
          <w:rPr>
            <w:rStyle w:val="Hyperlink"/>
          </w:rPr>
          <w:t>file</w:t>
        </w:r>
      </w:hyperlink>
      <w:r>
        <w:t xml:space="preserve"> (referenced by the system's environment variable, MQCCRED). To activate the security exit for a channel, set </w:t>
      </w:r>
      <w:proofErr w:type="spellStart"/>
      <w:proofErr w:type="gramStart"/>
      <w:r w:rsidRPr="00300259">
        <w:rPr>
          <w:rFonts w:ascii="Courier New" w:hAnsi="Courier New" w:cs="Courier New"/>
        </w:rPr>
        <w:t>mqccred</w:t>
      </w:r>
      <w:proofErr w:type="spellEnd"/>
      <w:r w:rsidRPr="00300259">
        <w:rPr>
          <w:rFonts w:ascii="Courier New" w:hAnsi="Courier New" w:cs="Courier New"/>
        </w:rPr>
        <w:t>(</w:t>
      </w:r>
      <w:proofErr w:type="spellStart"/>
      <w:proofErr w:type="gramEnd"/>
      <w:r w:rsidRPr="00300259">
        <w:rPr>
          <w:rFonts w:ascii="Courier New" w:hAnsi="Courier New" w:cs="Courier New"/>
        </w:rPr>
        <w:t>ChlExit</w:t>
      </w:r>
      <w:proofErr w:type="spellEnd"/>
      <w:r w:rsidRPr="00300259">
        <w:rPr>
          <w:rFonts w:ascii="Courier New" w:hAnsi="Courier New" w:cs="Courier New"/>
        </w:rPr>
        <w:t>)</w:t>
      </w:r>
      <w:r>
        <w:t xml:space="preserve"> on the following JSON object in the CCDT:</w:t>
      </w:r>
    </w:p>
    <w:p w14:paraId="05470C2B" w14:textId="77777777" w:rsidR="00300259" w:rsidRPr="00591864" w:rsidRDefault="00300259" w:rsidP="00591864">
      <w:pPr>
        <w:pStyle w:val="ListParagraph"/>
        <w:numPr>
          <w:ilvl w:val="0"/>
          <w:numId w:val="13"/>
        </w:numPr>
        <w:rPr>
          <w:rFonts w:ascii="Courier New" w:hAnsi="Courier New" w:cs="Courier New"/>
        </w:rPr>
      </w:pPr>
      <w:r w:rsidRPr="00591864">
        <w:rPr>
          <w:rFonts w:ascii="Courier New" w:hAnsi="Courier New" w:cs="Courier New"/>
        </w:rPr>
        <w:t>channel.exits.security.name</w:t>
      </w:r>
    </w:p>
    <w:p w14:paraId="5CCD0241" w14:textId="4F8FFF62" w:rsidR="00300259" w:rsidRDefault="00300259" w:rsidP="00591864">
      <w:proofErr w:type="spellStart"/>
      <w:r w:rsidRPr="00300259">
        <w:rPr>
          <w:rStyle w:val="Strong"/>
          <w:b w:val="0"/>
          <w:bCs w:val="0"/>
        </w:rPr>
        <w:t>mqccred</w:t>
      </w:r>
      <w:proofErr w:type="spellEnd"/>
      <w:r>
        <w:rPr>
          <w:rStyle w:val="Strong"/>
        </w:rPr>
        <w:t xml:space="preserve"> </w:t>
      </w:r>
      <w:r>
        <w:t xml:space="preserve">is a provided sample exit within your IBM MQ installation. Therefore, your client code must load the library using </w:t>
      </w:r>
      <w:proofErr w:type="spellStart"/>
      <w:r w:rsidRPr="00300259">
        <w:rPr>
          <w:rFonts w:ascii="Courier New" w:hAnsi="Courier New" w:cs="Courier New"/>
        </w:rPr>
        <w:t>System.loadLibrary</w:t>
      </w:r>
      <w:proofErr w:type="spellEnd"/>
      <w:r w:rsidRPr="00300259">
        <w:rPr>
          <w:rFonts w:ascii="Courier New" w:hAnsi="Courier New" w:cs="Courier New"/>
        </w:rPr>
        <w:t>("</w:t>
      </w:r>
      <w:proofErr w:type="spellStart"/>
      <w:r w:rsidRPr="00300259">
        <w:rPr>
          <w:rFonts w:ascii="Courier New" w:hAnsi="Courier New" w:cs="Courier New"/>
        </w:rPr>
        <w:t>mqccred</w:t>
      </w:r>
      <w:proofErr w:type="spellEnd"/>
      <w:r w:rsidRPr="00300259">
        <w:rPr>
          <w:rFonts w:ascii="Courier New" w:hAnsi="Courier New" w:cs="Courier New"/>
        </w:rPr>
        <w:t>")</w:t>
      </w:r>
      <w:r>
        <w:t xml:space="preserve"> and you need to ensure that the</w:t>
      </w:r>
      <w:r w:rsidR="00591864">
        <w:br/>
      </w:r>
      <w:r w:rsidRPr="00300259">
        <w:rPr>
          <w:rFonts w:ascii="Courier New" w:hAnsi="Courier New" w:cs="Courier New"/>
        </w:rPr>
        <w:lastRenderedPageBreak/>
        <w:t>-</w:t>
      </w:r>
      <w:proofErr w:type="spellStart"/>
      <w:proofErr w:type="gramStart"/>
      <w:r w:rsidRPr="00300259">
        <w:rPr>
          <w:rFonts w:ascii="Courier New" w:hAnsi="Courier New" w:cs="Courier New"/>
        </w:rPr>
        <w:t>Djava.library.path</w:t>
      </w:r>
      <w:proofErr w:type="spellEnd"/>
      <w:proofErr w:type="gramEnd"/>
      <w:r w:rsidRPr="00300259">
        <w:rPr>
          <w:rFonts w:ascii="Courier New" w:hAnsi="Courier New" w:cs="Courier New"/>
        </w:rPr>
        <w:t xml:space="preserve"> </w:t>
      </w:r>
      <w:r>
        <w:t xml:space="preserve">Java VM argument includes </w:t>
      </w:r>
      <w:r w:rsidRPr="00300259">
        <w:rPr>
          <w:rFonts w:ascii="Courier New" w:hAnsi="Courier New" w:cs="Courier New"/>
        </w:rPr>
        <w:t>.../tools/c/Samples/</w:t>
      </w:r>
      <w:proofErr w:type="spellStart"/>
      <w:r w:rsidRPr="00300259">
        <w:rPr>
          <w:rFonts w:ascii="Courier New" w:hAnsi="Courier New" w:cs="Courier New"/>
        </w:rPr>
        <w:t>mqccred</w:t>
      </w:r>
      <w:proofErr w:type="spellEnd"/>
      <w:r w:rsidRPr="00300259">
        <w:rPr>
          <w:rFonts w:ascii="Courier New" w:hAnsi="Courier New" w:cs="Courier New"/>
        </w:rPr>
        <w:t>/bin64</w:t>
      </w:r>
      <w:r>
        <w:t xml:space="preserve"> and </w:t>
      </w:r>
      <w:r w:rsidRPr="00300259">
        <w:rPr>
          <w:rFonts w:ascii="Courier New" w:hAnsi="Courier New" w:cs="Courier New"/>
        </w:rPr>
        <w:t>.../java/lib64</w:t>
      </w:r>
      <w:r>
        <w:t>.</w:t>
      </w:r>
    </w:p>
    <w:p w14:paraId="54DF90FC" w14:textId="5EFE020B" w:rsidR="00300259" w:rsidRDefault="00300259" w:rsidP="00591864">
      <w:r>
        <w:t xml:space="preserve">The </w:t>
      </w:r>
      <w:proofErr w:type="spellStart"/>
      <w:r>
        <w:t>mqccred</w:t>
      </w:r>
      <w:proofErr w:type="spellEnd"/>
      <w:r>
        <w:t xml:space="preserve"> security exit will also perform checks on the </w:t>
      </w:r>
      <w:r w:rsidRPr="00300259">
        <w:rPr>
          <w:rFonts w:ascii="Courier New" w:hAnsi="Courier New" w:cs="Courier New"/>
        </w:rPr>
        <w:t>mqccred.ini</w:t>
      </w:r>
      <w:r>
        <w:t xml:space="preserve"> file to ensure that the passwords are obfuscated and that the file itself is protected from all users being able to view it. The channel exit will fail if these two checks do not pass (unless </w:t>
      </w:r>
      <w:r w:rsidRPr="00300259">
        <w:rPr>
          <w:rFonts w:ascii="Courier New" w:hAnsi="Courier New" w:cs="Courier New"/>
        </w:rPr>
        <w:t>NOCHECKS</w:t>
      </w:r>
      <w:r>
        <w:t xml:space="preserve"> is set on </w:t>
      </w:r>
      <w:proofErr w:type="spellStart"/>
      <w:proofErr w:type="gramStart"/>
      <w:r w:rsidRPr="00300259">
        <w:rPr>
          <w:rFonts w:ascii="Courier New" w:hAnsi="Courier New" w:cs="Courier New"/>
        </w:rPr>
        <w:t>channel.exits</w:t>
      </w:r>
      <w:proofErr w:type="gramEnd"/>
      <w:r w:rsidRPr="00300259">
        <w:rPr>
          <w:rFonts w:ascii="Courier New" w:hAnsi="Courier New" w:cs="Courier New"/>
        </w:rPr>
        <w:t>.security.userData</w:t>
      </w:r>
      <w:proofErr w:type="spellEnd"/>
      <w:r>
        <w:t xml:space="preserve">). </w:t>
      </w:r>
      <w:proofErr w:type="spellStart"/>
      <w:r w:rsidRPr="00300259">
        <w:rPr>
          <w:rFonts w:ascii="Courier New" w:hAnsi="Courier New" w:cs="Courier New"/>
        </w:rPr>
        <w:t>runmqccred</w:t>
      </w:r>
      <w:proofErr w:type="spellEnd"/>
      <w:r>
        <w:t xml:space="preserve"> is provided to obfuscate the plain text passwords and instructions on how to use it can be found </w:t>
      </w:r>
      <w:hyperlink r:id="rId18" w:tgtFrame="_blank" w:history="1">
        <w:r>
          <w:rPr>
            <w:rStyle w:val="Hyperlink"/>
          </w:rPr>
          <w:t>here</w:t>
        </w:r>
      </w:hyperlink>
      <w:r>
        <w:t>.</w:t>
      </w:r>
    </w:p>
    <w:p w14:paraId="5ABE35ED" w14:textId="1148EFC9" w:rsidR="00753EAC" w:rsidRDefault="00753EAC" w:rsidP="00AB2FBC"/>
    <w:sectPr w:rsidR="00753EAC" w:rsidSect="005918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BC5"/>
    <w:multiLevelType w:val="multilevel"/>
    <w:tmpl w:val="500C36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8CE"/>
    <w:multiLevelType w:val="multilevel"/>
    <w:tmpl w:val="500C36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174D"/>
    <w:multiLevelType w:val="multilevel"/>
    <w:tmpl w:val="259C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41E4F"/>
    <w:multiLevelType w:val="multilevel"/>
    <w:tmpl w:val="CF4E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E50CA"/>
    <w:multiLevelType w:val="multilevel"/>
    <w:tmpl w:val="404E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A56DC"/>
    <w:multiLevelType w:val="multilevel"/>
    <w:tmpl w:val="F954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858F6"/>
    <w:multiLevelType w:val="multilevel"/>
    <w:tmpl w:val="473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C5F69"/>
    <w:multiLevelType w:val="hybridMultilevel"/>
    <w:tmpl w:val="377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32450"/>
    <w:multiLevelType w:val="hybridMultilevel"/>
    <w:tmpl w:val="9EEC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30FC1"/>
    <w:multiLevelType w:val="multilevel"/>
    <w:tmpl w:val="38C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761BB"/>
    <w:multiLevelType w:val="hybridMultilevel"/>
    <w:tmpl w:val="314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23809"/>
    <w:multiLevelType w:val="hybridMultilevel"/>
    <w:tmpl w:val="C3F6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A645C"/>
    <w:multiLevelType w:val="hybridMultilevel"/>
    <w:tmpl w:val="B954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12"/>
  </w:num>
  <w:num w:numId="6">
    <w:abstractNumId w:val="1"/>
  </w:num>
  <w:num w:numId="7">
    <w:abstractNumId w:val="2"/>
  </w:num>
  <w:num w:numId="8">
    <w:abstractNumId w:val="0"/>
  </w:num>
  <w:num w:numId="9">
    <w:abstractNumId w:val="6"/>
  </w:num>
  <w:num w:numId="10">
    <w:abstractNumId w:val="3"/>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54"/>
    <w:rsid w:val="00024505"/>
    <w:rsid w:val="000B0EB4"/>
    <w:rsid w:val="00167A45"/>
    <w:rsid w:val="0024428D"/>
    <w:rsid w:val="00251FD5"/>
    <w:rsid w:val="00293A15"/>
    <w:rsid w:val="002B1AB9"/>
    <w:rsid w:val="00300259"/>
    <w:rsid w:val="003B5604"/>
    <w:rsid w:val="00591864"/>
    <w:rsid w:val="005B019C"/>
    <w:rsid w:val="006E6D74"/>
    <w:rsid w:val="00753EAC"/>
    <w:rsid w:val="00A420C9"/>
    <w:rsid w:val="00AB2FBC"/>
    <w:rsid w:val="00B15685"/>
    <w:rsid w:val="00DA6CCB"/>
    <w:rsid w:val="00F51AD2"/>
    <w:rsid w:val="00FB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FE15"/>
  <w15:chartTrackingRefBased/>
  <w15:docId w15:val="{66F3C5CD-E907-4BA1-A8A7-6ADA148A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45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3E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08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085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B0854"/>
    <w:rPr>
      <w:color w:val="0563C1" w:themeColor="hyperlink"/>
      <w:u w:val="single"/>
    </w:rPr>
  </w:style>
  <w:style w:type="character" w:styleId="UnresolvedMention">
    <w:name w:val="Unresolved Mention"/>
    <w:basedOn w:val="DefaultParagraphFont"/>
    <w:uiPriority w:val="99"/>
    <w:semiHidden/>
    <w:unhideWhenUsed/>
    <w:rsid w:val="00FB0854"/>
    <w:rPr>
      <w:color w:val="605E5C"/>
      <w:shd w:val="clear" w:color="auto" w:fill="E1DFDD"/>
    </w:rPr>
  </w:style>
  <w:style w:type="paragraph" w:styleId="NormalWeb">
    <w:name w:val="Normal (Web)"/>
    <w:basedOn w:val="Normal"/>
    <w:uiPriority w:val="99"/>
    <w:semiHidden/>
    <w:unhideWhenUsed/>
    <w:rsid w:val="00FB0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245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45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428D"/>
    <w:pPr>
      <w:ind w:left="720"/>
      <w:contextualSpacing/>
    </w:pPr>
  </w:style>
  <w:style w:type="paragraph" w:styleId="Caption">
    <w:name w:val="caption"/>
    <w:basedOn w:val="Normal"/>
    <w:next w:val="Normal"/>
    <w:uiPriority w:val="35"/>
    <w:unhideWhenUsed/>
    <w:qFormat/>
    <w:rsid w:val="00AB2FBC"/>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semiHidden/>
    <w:rsid w:val="00753EA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53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5622">
      <w:bodyDiv w:val="1"/>
      <w:marLeft w:val="0"/>
      <w:marRight w:val="0"/>
      <w:marTop w:val="0"/>
      <w:marBottom w:val="0"/>
      <w:divBdr>
        <w:top w:val="none" w:sz="0" w:space="0" w:color="auto"/>
        <w:left w:val="none" w:sz="0" w:space="0" w:color="auto"/>
        <w:bottom w:val="none" w:sz="0" w:space="0" w:color="auto"/>
        <w:right w:val="none" w:sz="0" w:space="0" w:color="auto"/>
      </w:divBdr>
    </w:div>
    <w:div w:id="429089804">
      <w:bodyDiv w:val="1"/>
      <w:marLeft w:val="0"/>
      <w:marRight w:val="0"/>
      <w:marTop w:val="0"/>
      <w:marBottom w:val="0"/>
      <w:divBdr>
        <w:top w:val="none" w:sz="0" w:space="0" w:color="auto"/>
        <w:left w:val="none" w:sz="0" w:space="0" w:color="auto"/>
        <w:bottom w:val="none" w:sz="0" w:space="0" w:color="auto"/>
        <w:right w:val="none" w:sz="0" w:space="0" w:color="auto"/>
      </w:divBdr>
    </w:div>
    <w:div w:id="486018793">
      <w:bodyDiv w:val="1"/>
      <w:marLeft w:val="0"/>
      <w:marRight w:val="0"/>
      <w:marTop w:val="0"/>
      <w:marBottom w:val="0"/>
      <w:divBdr>
        <w:top w:val="none" w:sz="0" w:space="0" w:color="auto"/>
        <w:left w:val="none" w:sz="0" w:space="0" w:color="auto"/>
        <w:bottom w:val="none" w:sz="0" w:space="0" w:color="auto"/>
        <w:right w:val="none" w:sz="0" w:space="0" w:color="auto"/>
      </w:divBdr>
    </w:div>
    <w:div w:id="632297901">
      <w:bodyDiv w:val="1"/>
      <w:marLeft w:val="0"/>
      <w:marRight w:val="0"/>
      <w:marTop w:val="0"/>
      <w:marBottom w:val="0"/>
      <w:divBdr>
        <w:top w:val="none" w:sz="0" w:space="0" w:color="auto"/>
        <w:left w:val="none" w:sz="0" w:space="0" w:color="auto"/>
        <w:bottom w:val="none" w:sz="0" w:space="0" w:color="auto"/>
        <w:right w:val="none" w:sz="0" w:space="0" w:color="auto"/>
      </w:divBdr>
    </w:div>
    <w:div w:id="751051400">
      <w:bodyDiv w:val="1"/>
      <w:marLeft w:val="0"/>
      <w:marRight w:val="0"/>
      <w:marTop w:val="0"/>
      <w:marBottom w:val="0"/>
      <w:divBdr>
        <w:top w:val="none" w:sz="0" w:space="0" w:color="auto"/>
        <w:left w:val="none" w:sz="0" w:space="0" w:color="auto"/>
        <w:bottom w:val="none" w:sz="0" w:space="0" w:color="auto"/>
        <w:right w:val="none" w:sz="0" w:space="0" w:color="auto"/>
      </w:divBdr>
    </w:div>
    <w:div w:id="1377388639">
      <w:bodyDiv w:val="1"/>
      <w:marLeft w:val="0"/>
      <w:marRight w:val="0"/>
      <w:marTop w:val="0"/>
      <w:marBottom w:val="0"/>
      <w:divBdr>
        <w:top w:val="none" w:sz="0" w:space="0" w:color="auto"/>
        <w:left w:val="none" w:sz="0" w:space="0" w:color="auto"/>
        <w:bottom w:val="none" w:sz="0" w:space="0" w:color="auto"/>
        <w:right w:val="none" w:sz="0" w:space="0" w:color="auto"/>
      </w:divBdr>
    </w:div>
    <w:div w:id="1944070776">
      <w:bodyDiv w:val="1"/>
      <w:marLeft w:val="0"/>
      <w:marRight w:val="0"/>
      <w:marTop w:val="0"/>
      <w:marBottom w:val="0"/>
      <w:divBdr>
        <w:top w:val="none" w:sz="0" w:space="0" w:color="auto"/>
        <w:left w:val="none" w:sz="0" w:space="0" w:color="auto"/>
        <w:bottom w:val="none" w:sz="0" w:space="0" w:color="auto"/>
        <w:right w:val="none" w:sz="0" w:space="0" w:color="auto"/>
      </w:divBdr>
    </w:div>
    <w:div w:id="2017491430">
      <w:bodyDiv w:val="1"/>
      <w:marLeft w:val="0"/>
      <w:marRight w:val="0"/>
      <w:marTop w:val="0"/>
      <w:marBottom w:val="0"/>
      <w:divBdr>
        <w:top w:val="none" w:sz="0" w:space="0" w:color="auto"/>
        <w:left w:val="none" w:sz="0" w:space="0" w:color="auto"/>
        <w:bottom w:val="none" w:sz="0" w:space="0" w:color="auto"/>
        <w:right w:val="none" w:sz="0" w:space="0" w:color="auto"/>
      </w:divBdr>
    </w:div>
    <w:div w:id="21374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3.jpg"/><Relationship Id="rId18" Type="http://schemas.openxmlformats.org/officeDocument/2006/relationships/hyperlink" Target="https://www.ibm.com/support/knowledgecenter/en/SSFKSJ_9.1.0/com.ibm.mq.ref.adm.doc/q114380_.htm" TargetMode="External"/><Relationship Id="rId3" Type="http://schemas.openxmlformats.org/officeDocument/2006/relationships/styles" Target="styles.xml"/><Relationship Id="rId7" Type="http://schemas.openxmlformats.org/officeDocument/2006/relationships/hyperlink" Target="mailto:ishore@uk.ibm.com" TargetMode="External"/><Relationship Id="rId12" Type="http://schemas.openxmlformats.org/officeDocument/2006/relationships/hyperlink" Target="https://www.ibm.com/support/knowledgecenter/SSFKSJ_9.1.0/com.ibm.mq.con.doc/q132890_.htm" TargetMode="External"/><Relationship Id="rId17" Type="http://schemas.openxmlformats.org/officeDocument/2006/relationships/hyperlink" Target="https://www.ibm.com/support/knowledgecenter/en/SSFKSJ_9.1.0/com.ibm.mq.sec.doc/q114370_.htm" TargetMode="External"/><Relationship Id="rId2" Type="http://schemas.openxmlformats.org/officeDocument/2006/relationships/numbering" Target="numbering.xml"/><Relationship Id="rId16" Type="http://schemas.openxmlformats.org/officeDocument/2006/relationships/hyperlink" Target="https://www.ibm.com/support/knowledgecenter/en/SSFKSJ_9.1.0/com.ibm.mq.ref.con.doc/q081750_.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ibm.com/support/knowledgecenter/SSFKSJ_9.1.0/com.ibm.mq.ref.con.doc/q081810_.htm" TargetMode="External"/><Relationship Id="rId5" Type="http://schemas.openxmlformats.org/officeDocument/2006/relationships/webSettings" Target="webSettings.xml"/><Relationship Id="rId15" Type="http://schemas.openxmlformats.org/officeDocument/2006/relationships/hyperlink" Target="https://www.ibm.com/support/knowledgecenter/SSFKSJ_9.1.0/com.ibm.mq.con.doc/q132900_.htm" TargetMode="External"/><Relationship Id="rId10" Type="http://schemas.openxmlformats.org/officeDocument/2006/relationships/hyperlink" Target="https://www.ibm.com/support/knowledgecenter/SSFKSJ_9.1.0/com.ibm.mq.ref.con.doc/q081750_.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bm.com/support/knowledgecenter/SSFKSJ_9.1.0/com.ibm.mq.dev.doc/q027490_.htm" TargetMode="External"/><Relationship Id="rId14" Type="http://schemas.openxmlformats.org/officeDocument/2006/relationships/hyperlink" Target="https://www.ibm.com/support/knowledgecenter/SSFKSJ_9.1.0/com.ibm.mq.con.doc/q132900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EC8AA-0F90-479C-811D-AD63DCA1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Shore</dc:creator>
  <cp:keywords/>
  <dc:description/>
  <cp:lastModifiedBy>Ian Shore</cp:lastModifiedBy>
  <cp:revision>9</cp:revision>
  <dcterms:created xsi:type="dcterms:W3CDTF">2020-07-06T10:16:00Z</dcterms:created>
  <dcterms:modified xsi:type="dcterms:W3CDTF">2020-07-08T11:50:00Z</dcterms:modified>
</cp:coreProperties>
</file>