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59" w:rsidRPr="003F1A59" w:rsidRDefault="003F1A59" w:rsidP="003F1A59">
      <w:pPr>
        <w:jc w:val="center"/>
        <w:rPr>
          <w:rFonts w:ascii="IBM Plex Sans" w:hAnsi="IBM Plex Sans"/>
          <w:sz w:val="32"/>
          <w:szCs w:val="32"/>
          <w:lang w:val="en-US"/>
        </w:rPr>
      </w:pPr>
      <w:r w:rsidRPr="003F1A59">
        <w:rPr>
          <w:rFonts w:ascii="IBM Plex Sans" w:hAnsi="IBM Plex San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5EBE0" wp14:editId="26D6B323">
                <wp:simplePos x="0" y="0"/>
                <wp:positionH relativeFrom="column">
                  <wp:posOffset>-153035</wp:posOffset>
                </wp:positionH>
                <wp:positionV relativeFrom="paragraph">
                  <wp:posOffset>1091681</wp:posOffset>
                </wp:positionV>
                <wp:extent cx="6548034" cy="0"/>
                <wp:effectExtent l="25400" t="38100" r="56515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8034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2C379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85.95pt" to="503.5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" strokecolor="#5b9bd5 [3208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3F1A59">
        <w:rPr>
          <w:rFonts w:ascii="IBM Plex Sans" w:hAnsi="IBM Plex San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54B9F" wp14:editId="2352CCAF">
                <wp:simplePos x="0" y="0"/>
                <wp:positionH relativeFrom="column">
                  <wp:posOffset>-112816</wp:posOffset>
                </wp:positionH>
                <wp:positionV relativeFrom="paragraph">
                  <wp:posOffset>-332575</wp:posOffset>
                </wp:positionV>
                <wp:extent cx="6548034" cy="0"/>
                <wp:effectExtent l="25400" t="38100" r="56515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8034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C78D0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-26.2pt" to="506.7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" strokecolor="#5b9bd5 [3208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Pr="003F1A59">
        <w:rPr>
          <w:rFonts w:ascii="IBM Plex Sans" w:hAnsi="IBM Plex Sans"/>
          <w:b/>
          <w:bCs/>
          <w:noProof/>
          <w:sz w:val="32"/>
          <w:szCs w:val="32"/>
        </w:rPr>
        <w:t>Recreate a View</w:t>
      </w:r>
      <w:r w:rsidRPr="003F1A59">
        <w:rPr>
          <w:rFonts w:ascii="IBM Plex Sans" w:hAnsi="IBM Plex Sans"/>
          <w:b/>
          <w:bCs/>
          <w:sz w:val="32"/>
          <w:szCs w:val="32"/>
          <w:lang w:val="en-US"/>
        </w:rPr>
        <w:t xml:space="preserve"> Without Impacting Reports</w:t>
      </w:r>
      <w:r w:rsidRPr="003F1A59">
        <w:rPr>
          <w:rFonts w:ascii="IBM Plex Sans" w:hAnsi="IBM Plex Sans"/>
          <w:b/>
          <w:bCs/>
          <w:sz w:val="32"/>
          <w:szCs w:val="32"/>
          <w:lang w:val="en-US"/>
        </w:rPr>
        <w:br/>
      </w:r>
      <w:r w:rsidRPr="003F1A59">
        <w:rPr>
          <w:rFonts w:ascii="IBM Plex Sans" w:hAnsi="IBM Plex Sans"/>
          <w:sz w:val="32"/>
          <w:szCs w:val="32"/>
          <w:lang w:val="en-US"/>
        </w:rPr>
        <w:br/>
      </w:r>
      <w:r w:rsidRPr="003F1A59">
        <w:rPr>
          <w:rFonts w:ascii="IBM Plex Sans" w:hAnsi="IBM Plex Sans"/>
          <w:b/>
          <w:bCs/>
          <w:sz w:val="32"/>
          <w:szCs w:val="32"/>
          <w:lang w:val="en-US"/>
        </w:rPr>
        <w:t>IBM Cognos Analytics Data Module</w:t>
      </w:r>
      <w:r w:rsidRPr="003F1A59">
        <w:rPr>
          <w:rFonts w:ascii="IBM Plex Sans" w:hAnsi="IBM Plex Sans"/>
          <w:b/>
          <w:bCs/>
          <w:sz w:val="32"/>
          <w:szCs w:val="32"/>
          <w:lang w:val="en-US"/>
        </w:rPr>
        <w:br/>
      </w:r>
    </w:p>
    <w:p w:rsidR="009A4C94" w:rsidRDefault="003F1A59" w:rsidP="003F1A59">
      <w:pPr>
        <w:rPr>
          <w:rFonts w:ascii="IBM Plex Sans" w:hAnsi="IBM Plex Sans"/>
          <w:lang w:val="en-US"/>
        </w:rPr>
      </w:pPr>
      <w:r w:rsidRPr="003F1A59">
        <w:rPr>
          <w:rFonts w:ascii="IBM Plex Sans" w:hAnsi="IBM Plex Sans"/>
          <w:lang w:val="en-US"/>
        </w:rPr>
        <w:br/>
      </w:r>
    </w:p>
    <w:p w:rsidR="003F1A59" w:rsidRDefault="003F1A59" w:rsidP="003F1A59">
      <w:pPr>
        <w:pStyle w:val="Heading2"/>
        <w:spacing w:before="20" w:line="240" w:lineRule="auto"/>
        <w:rPr>
          <w:b w:val="0"/>
          <w:bCs/>
          <w:sz w:val="22"/>
          <w:szCs w:val="22"/>
        </w:rPr>
      </w:pPr>
      <w:bookmarkStart w:id="0" w:name="_Toc6853225"/>
      <w:r w:rsidRPr="003F1A59">
        <w:rPr>
          <w:sz w:val="28"/>
          <w:szCs w:val="28"/>
        </w:rPr>
        <w:t>Purpose</w:t>
      </w:r>
      <w:bookmarkEnd w:id="0"/>
      <w:r>
        <w:rPr>
          <w:sz w:val="28"/>
          <w:szCs w:val="28"/>
        </w:rPr>
        <w:br/>
      </w:r>
      <w:r w:rsidRPr="003F1A59">
        <w:rPr>
          <w:b w:val="0"/>
          <w:bCs/>
          <w:sz w:val="22"/>
          <w:szCs w:val="22"/>
        </w:rPr>
        <w:t xml:space="preserve">This document will outline the steps </w:t>
      </w:r>
      <w:r>
        <w:rPr>
          <w:b w:val="0"/>
          <w:bCs/>
          <w:sz w:val="22"/>
          <w:szCs w:val="22"/>
        </w:rPr>
        <w:t xml:space="preserve">needed </w:t>
      </w:r>
      <w:r w:rsidRPr="003F1A59">
        <w:rPr>
          <w:b w:val="0"/>
          <w:bCs/>
          <w:sz w:val="22"/>
          <w:szCs w:val="22"/>
        </w:rPr>
        <w:t xml:space="preserve">to recreate a view in a </w:t>
      </w:r>
      <w:r>
        <w:rPr>
          <w:b w:val="0"/>
          <w:bCs/>
          <w:sz w:val="22"/>
          <w:szCs w:val="22"/>
        </w:rPr>
        <w:t>D</w:t>
      </w:r>
      <w:r w:rsidRPr="003F1A59">
        <w:rPr>
          <w:b w:val="0"/>
          <w:bCs/>
          <w:sz w:val="22"/>
          <w:szCs w:val="22"/>
        </w:rPr>
        <w:t xml:space="preserve">ata </w:t>
      </w:r>
      <w:r>
        <w:rPr>
          <w:b w:val="0"/>
          <w:bCs/>
          <w:sz w:val="22"/>
          <w:szCs w:val="22"/>
        </w:rPr>
        <w:t>M</w:t>
      </w:r>
      <w:r w:rsidRPr="003F1A59">
        <w:rPr>
          <w:b w:val="0"/>
          <w:bCs/>
          <w:sz w:val="22"/>
          <w:szCs w:val="22"/>
        </w:rPr>
        <w:t>odule without impacting</w:t>
      </w:r>
      <w:r>
        <w:rPr>
          <w:b w:val="0"/>
          <w:bCs/>
          <w:sz w:val="22"/>
          <w:szCs w:val="22"/>
        </w:rPr>
        <w:t xml:space="preserve"> the reports sourced from </w:t>
      </w:r>
      <w:r>
        <w:rPr>
          <w:b w:val="0"/>
          <w:bCs/>
          <w:sz w:val="22"/>
          <w:szCs w:val="22"/>
        </w:rPr>
        <w:t>the Data Module</w:t>
      </w:r>
      <w:r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br/>
      </w:r>
    </w:p>
    <w:p w:rsidR="003F1A59" w:rsidRDefault="003F1A59" w:rsidP="003F1A59">
      <w:pPr>
        <w:pStyle w:val="Heading2"/>
        <w:spacing w:before="20"/>
        <w:rPr>
          <w:b w:val="0"/>
          <w:bCs/>
          <w:sz w:val="22"/>
          <w:szCs w:val="22"/>
        </w:rPr>
      </w:pPr>
    </w:p>
    <w:p w:rsidR="003F1A59" w:rsidRPr="003F1A59" w:rsidRDefault="003F1A59" w:rsidP="003F1A59">
      <w:pPr>
        <w:pStyle w:val="Heading2"/>
        <w:spacing w:before="20" w:line="240" w:lineRule="auto"/>
        <w:rPr>
          <w:b w:val="0"/>
          <w:bCs/>
          <w:i/>
          <w:iCs/>
          <w:sz w:val="18"/>
          <w:szCs w:val="18"/>
        </w:rPr>
      </w:pPr>
      <w:r w:rsidRPr="003F1A59">
        <w:rPr>
          <w:sz w:val="28"/>
          <w:szCs w:val="28"/>
        </w:rPr>
        <w:t>Data Item Reference</w:t>
      </w:r>
      <w:r>
        <w:rPr>
          <w:b w:val="0"/>
          <w:bCs/>
          <w:sz w:val="22"/>
          <w:szCs w:val="22"/>
        </w:rPr>
        <w:br/>
        <w:t xml:space="preserve">Before we get started, let’s look at and understand how a data item in a report is referenced when the source is a data module. Looking at the example and screenshot below, you can see the data item reference is as follows: </w:t>
      </w:r>
      <w:r>
        <w:rPr>
          <w:b w:val="0"/>
          <w:bCs/>
          <w:sz w:val="22"/>
          <w:szCs w:val="22"/>
        </w:rPr>
        <w:br/>
        <w:t xml:space="preserve">     </w:t>
      </w:r>
      <w:r>
        <w:rPr>
          <w:b w:val="0"/>
          <w:bCs/>
          <w:sz w:val="22"/>
          <w:szCs w:val="22"/>
        </w:rPr>
        <w:br/>
      </w:r>
      <w:r w:rsidRPr="003F1A59">
        <w:rPr>
          <w:sz w:val="22"/>
          <w:szCs w:val="22"/>
        </w:rPr>
        <w:t>[C].[C_Coffee_sales_and_marketing].[customer].[customer_first_name]</w:t>
      </w:r>
      <w:r w:rsidRPr="003F1A59">
        <w:rPr>
          <w:sz w:val="22"/>
          <w:szCs w:val="22"/>
        </w:rPr>
        <w:br/>
        <w:t xml:space="preserve">                            ^^                                            </w:t>
      </w:r>
      <w:r>
        <w:rPr>
          <w:sz w:val="22"/>
          <w:szCs w:val="22"/>
        </w:rPr>
        <w:t xml:space="preserve">   </w:t>
      </w:r>
      <w:r w:rsidRPr="003F1A59">
        <w:rPr>
          <w:sz w:val="22"/>
          <w:szCs w:val="22"/>
        </w:rPr>
        <w:t xml:space="preserve"> ^^                              ^^</w:t>
      </w:r>
      <w:r w:rsidRPr="003F1A59">
        <w:rPr>
          <w:sz w:val="22"/>
          <w:szCs w:val="22"/>
        </w:rPr>
        <w:br/>
        <w:t xml:space="preserve">             </w:t>
      </w:r>
      <w:r w:rsidRPr="003F1A59">
        <w:rPr>
          <w:i/>
          <w:iCs/>
          <w:color w:val="4472C4" w:themeColor="accent1"/>
          <w:sz w:val="18"/>
          <w:szCs w:val="18"/>
        </w:rPr>
        <w:t>Data Module Identifier                            Table Identifier               Column Identifier</w:t>
      </w:r>
    </w:p>
    <w:p w:rsidR="003F1A59" w:rsidRPr="003F1A59" w:rsidRDefault="003F1A59" w:rsidP="003F1A59">
      <w:pPr>
        <w:pStyle w:val="Heading2"/>
        <w:spacing w:before="2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br/>
      </w:r>
      <w:r w:rsidRPr="003F1A59">
        <w:rPr>
          <w:b w:val="0"/>
          <w:bCs/>
          <w:sz w:val="22"/>
          <w:szCs w:val="22"/>
        </w:rPr>
        <w:drawing>
          <wp:inline distT="0" distB="0" distL="0" distR="0" wp14:anchorId="685C2664" wp14:editId="766AA712">
            <wp:extent cx="5943600" cy="2520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A59" w:rsidRDefault="003F1A59" w:rsidP="003F1A59">
      <w:pPr>
        <w:rPr>
          <w:rFonts w:ascii="IBM Plex Sans" w:hAnsi="IBM Plex Sans"/>
          <w:lang w:val="en-US"/>
        </w:rPr>
      </w:pPr>
    </w:p>
    <w:p w:rsidR="003F1A59" w:rsidRPr="003F1A59" w:rsidRDefault="003F1A59" w:rsidP="003F1A59">
      <w:pPr>
        <w:rPr>
          <w:rFonts w:ascii="IBM Plex Sans" w:hAnsi="IBM Plex Sans"/>
          <w:lang w:val="en-US"/>
        </w:rPr>
      </w:pPr>
      <w:r>
        <w:rPr>
          <w:rFonts w:ascii="IBM Plex Sans" w:hAnsi="IBM Plex Sans"/>
          <w:lang w:val="en-US"/>
        </w:rPr>
        <w:t>You will notice that both the Table and Column Identifier fields in the data module are editable field</w:t>
      </w:r>
      <w:r>
        <w:rPr>
          <w:rFonts w:ascii="IBM Plex Sans" w:hAnsi="IBM Plex Sans"/>
          <w:lang w:val="en-US"/>
        </w:rPr>
        <w:t>s</w:t>
      </w:r>
      <w:r>
        <w:rPr>
          <w:rFonts w:ascii="IBM Plex Sans" w:hAnsi="IBM Plex Sans"/>
          <w:lang w:val="en-US"/>
        </w:rPr>
        <w:t>. This makes it easy to recreate a view and change the Table and Column identifiers without impacting the report.</w:t>
      </w:r>
    </w:p>
    <w:p w:rsidR="003F1A59" w:rsidRPr="00E173D8" w:rsidRDefault="003F1A59" w:rsidP="003F1A59">
      <w:pPr>
        <w:rPr>
          <w:rFonts w:ascii="IBM Plex Sans" w:hAnsi="IBM Plex Sans"/>
          <w:b/>
          <w:bCs/>
          <w:sz w:val="28"/>
          <w:szCs w:val="28"/>
          <w:lang w:val="en-US"/>
        </w:rPr>
      </w:pPr>
      <w:r w:rsidRPr="003F1A59">
        <w:rPr>
          <w:rFonts w:ascii="IBM Plex Sans" w:hAnsi="IBM Plex Sans"/>
          <w:b/>
          <w:bCs/>
          <w:sz w:val="28"/>
          <w:szCs w:val="28"/>
          <w:lang w:val="en-US"/>
        </w:rPr>
        <w:lastRenderedPageBreak/>
        <w:t>Recreate View</w:t>
      </w:r>
      <w:r w:rsidR="00E173D8">
        <w:rPr>
          <w:rFonts w:ascii="IBM Plex Sans" w:hAnsi="IBM Plex Sans"/>
          <w:b/>
          <w:bCs/>
          <w:sz w:val="28"/>
          <w:szCs w:val="28"/>
          <w:lang w:val="en-US"/>
        </w:rPr>
        <w:br/>
      </w:r>
      <w:r w:rsidR="00E173D8" w:rsidRPr="00E173D8">
        <w:rPr>
          <w:rFonts w:ascii="IBM Plex Sans" w:hAnsi="IBM Plex Sans"/>
          <w:b/>
          <w:bCs/>
          <w:i/>
          <w:iCs/>
          <w:sz w:val="24"/>
          <w:szCs w:val="24"/>
          <w:lang w:val="en-US"/>
        </w:rPr>
        <w:t>*Before proceeding, take a backup of your Data Module*</w:t>
      </w:r>
      <w:r w:rsidR="00E173D8">
        <w:rPr>
          <w:rFonts w:ascii="IBM Plex Sans" w:hAnsi="IBM Plex Sans"/>
          <w:b/>
          <w:bCs/>
          <w:sz w:val="28"/>
          <w:szCs w:val="28"/>
          <w:lang w:val="en-US"/>
        </w:rPr>
        <w:br/>
      </w:r>
      <w:r>
        <w:rPr>
          <w:rFonts w:ascii="IBM Plex Sans" w:hAnsi="IBM Plex Sans"/>
          <w:b/>
          <w:bCs/>
          <w:sz w:val="28"/>
          <w:szCs w:val="28"/>
          <w:lang w:val="en-US"/>
        </w:rPr>
        <w:br/>
      </w:r>
      <w:r>
        <w:rPr>
          <w:rFonts w:ascii="IBM Plex Sans" w:hAnsi="IBM Plex Sans"/>
          <w:lang w:val="en-US"/>
        </w:rPr>
        <w:t>From the screenshot below you can see I created a view called "</w:t>
      </w:r>
      <w:r w:rsidRPr="003F1A59">
        <w:rPr>
          <w:rFonts w:ascii="IBM Plex Sans" w:hAnsi="IBM Plex Sans"/>
          <w:lang w:val="en-US"/>
        </w:rPr>
        <w:t>Staff &amp; Sales Receipts</w:t>
      </w:r>
      <w:r>
        <w:rPr>
          <w:rFonts w:ascii="IBM Plex Sans" w:hAnsi="IBM Plex Sans"/>
          <w:lang w:val="en-US"/>
        </w:rPr>
        <w:t>"</w:t>
      </w:r>
      <w:r>
        <w:rPr>
          <w:rFonts w:ascii="IBM Plex Sans" w:hAnsi="IBM Plex Sans"/>
          <w:lang w:val="en-US"/>
        </w:rPr>
        <w:br/>
      </w:r>
      <w:r w:rsidRPr="003F1A59">
        <w:rPr>
          <w:rFonts w:ascii="IBM Plex Sans" w:hAnsi="IBM Plex Sans"/>
          <w:lang w:val="en-US"/>
        </w:rPr>
        <w:drawing>
          <wp:inline distT="0" distB="0" distL="0" distR="0" wp14:anchorId="632203D3" wp14:editId="03EF2B5A">
            <wp:extent cx="5943600" cy="13468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BC" w:rsidRDefault="00F834BC" w:rsidP="003F1A59">
      <w:pPr>
        <w:rPr>
          <w:rFonts w:ascii="IBM Plex Sans" w:hAnsi="IBM Plex Sans"/>
          <w:lang w:val="en-US"/>
        </w:rPr>
      </w:pPr>
    </w:p>
    <w:p w:rsidR="003F1A59" w:rsidRDefault="003F1A59" w:rsidP="003F1A59">
      <w:pPr>
        <w:rPr>
          <w:rFonts w:ascii="IBM Plex Sans" w:hAnsi="IBM Plex Sans"/>
          <w:lang w:val="en-US"/>
        </w:rPr>
      </w:pPr>
      <w:r>
        <w:rPr>
          <w:rFonts w:ascii="IBM Plex Sans" w:hAnsi="IBM Plex Sans"/>
          <w:lang w:val="en-US"/>
        </w:rPr>
        <w:t xml:space="preserve">Next, </w:t>
      </w:r>
      <w:r w:rsidR="00F834BC">
        <w:rPr>
          <w:rFonts w:ascii="IBM Plex Sans" w:hAnsi="IBM Plex Sans"/>
          <w:lang w:val="en-US"/>
        </w:rPr>
        <w:t>we</w:t>
      </w:r>
      <w:r>
        <w:rPr>
          <w:rFonts w:ascii="IBM Plex Sans" w:hAnsi="IBM Plex Sans"/>
          <w:lang w:val="en-US"/>
        </w:rPr>
        <w:t xml:space="preserve"> would like to add the "Customer</w:t>
      </w:r>
      <w:r w:rsidR="00F834BC">
        <w:rPr>
          <w:rFonts w:ascii="IBM Plex Sans" w:hAnsi="IBM Plex Sans"/>
          <w:lang w:val="en-US"/>
        </w:rPr>
        <w:t>"</w:t>
      </w:r>
      <w:r>
        <w:rPr>
          <w:rFonts w:ascii="IBM Plex Sans" w:hAnsi="IBM Plex Sans"/>
          <w:lang w:val="en-US"/>
        </w:rPr>
        <w:t xml:space="preserve"> table to the view</w:t>
      </w:r>
      <w:r w:rsidR="00F834BC">
        <w:rPr>
          <w:rFonts w:ascii="IBM Plex Sans" w:hAnsi="IBM Plex Sans"/>
          <w:lang w:val="en-US"/>
        </w:rPr>
        <w:t xml:space="preserve">. To do this, we will create a new </w:t>
      </w:r>
      <w:r w:rsidR="00E173D8">
        <w:rPr>
          <w:rFonts w:ascii="IBM Plex Sans" w:hAnsi="IBM Plex Sans"/>
          <w:lang w:val="en-US"/>
        </w:rPr>
        <w:t>V</w:t>
      </w:r>
      <w:r w:rsidR="00F834BC">
        <w:rPr>
          <w:rFonts w:ascii="IBM Plex Sans" w:hAnsi="IBM Plex Sans"/>
          <w:lang w:val="en-US"/>
        </w:rPr>
        <w:t>iew</w:t>
      </w:r>
      <w:r w:rsidR="00E173D8">
        <w:rPr>
          <w:rFonts w:ascii="IBM Plex Sans" w:hAnsi="IBM Plex Sans"/>
          <w:lang w:val="en-US"/>
        </w:rPr>
        <w:t xml:space="preserve"> called "Staff &amp; Customer &amp; Sales Receipt"</w:t>
      </w:r>
      <w:r w:rsidR="00F834BC">
        <w:rPr>
          <w:rFonts w:ascii="IBM Plex Sans" w:hAnsi="IBM Plex Sans"/>
          <w:lang w:val="en-US"/>
        </w:rPr>
        <w:t xml:space="preserve"> with the required tables: </w:t>
      </w:r>
      <w:r w:rsidR="00F834BC">
        <w:rPr>
          <w:rFonts w:ascii="IBM Plex Sans" w:hAnsi="IBM Plex Sans"/>
          <w:lang w:val="en-US"/>
        </w:rPr>
        <w:br/>
      </w:r>
      <w:r w:rsidR="00F834BC" w:rsidRPr="00F834BC">
        <w:rPr>
          <w:rFonts w:ascii="IBM Plex Sans" w:hAnsi="IBM Plex Sans"/>
          <w:lang w:val="en-US"/>
        </w:rPr>
        <w:drawing>
          <wp:inline distT="0" distB="0" distL="0" distR="0" wp14:anchorId="199C77FA" wp14:editId="377A3F7D">
            <wp:extent cx="5943600" cy="3297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BC" w:rsidRDefault="00F834BC" w:rsidP="003F1A59">
      <w:pPr>
        <w:rPr>
          <w:rFonts w:ascii="IBM Plex Sans" w:hAnsi="IBM Plex Sans"/>
          <w:lang w:val="en-US"/>
        </w:rPr>
      </w:pPr>
    </w:p>
    <w:p w:rsidR="00F834BC" w:rsidRPr="003F1A59" w:rsidRDefault="00F834BC" w:rsidP="003F1A59">
      <w:pPr>
        <w:rPr>
          <w:rFonts w:ascii="IBM Plex Sans" w:hAnsi="IBM Plex Sans"/>
          <w:lang w:val="en-US"/>
        </w:rPr>
      </w:pPr>
      <w:r>
        <w:rPr>
          <w:rFonts w:ascii="IBM Plex Sans" w:hAnsi="IBM Plex Sans"/>
          <w:lang w:val="en-US"/>
        </w:rPr>
        <w:t xml:space="preserve">Once that is </w:t>
      </w:r>
      <w:proofErr w:type="gramStart"/>
      <w:r>
        <w:rPr>
          <w:rFonts w:ascii="IBM Plex Sans" w:hAnsi="IBM Plex Sans"/>
          <w:lang w:val="en-US"/>
        </w:rPr>
        <w:t xml:space="preserve">completed, </w:t>
      </w:r>
      <w:r w:rsidR="00E173D8">
        <w:rPr>
          <w:rFonts w:ascii="IBM Plex Sans" w:hAnsi="IBM Plex Sans"/>
          <w:lang w:val="en-US"/>
        </w:rPr>
        <w:t xml:space="preserve"> </w:t>
      </w:r>
      <w:r w:rsidR="00B00EA7">
        <w:rPr>
          <w:rFonts w:ascii="IBM Plex Sans" w:hAnsi="IBM Plex Sans"/>
          <w:lang w:val="en-US"/>
        </w:rPr>
        <w:t>y</w:t>
      </w:r>
      <w:r w:rsidR="00E173D8">
        <w:rPr>
          <w:rFonts w:ascii="IBM Plex Sans" w:hAnsi="IBM Plex Sans"/>
          <w:lang w:val="en-US"/>
        </w:rPr>
        <w:t>ou</w:t>
      </w:r>
      <w:proofErr w:type="gramEnd"/>
      <w:r w:rsidR="00E173D8">
        <w:rPr>
          <w:rFonts w:ascii="IBM Plex Sans" w:hAnsi="IBM Plex Sans"/>
          <w:lang w:val="en-US"/>
        </w:rPr>
        <w:t xml:space="preserve"> should have the new view and original view we want to replace:</w:t>
      </w:r>
      <w:r w:rsidR="00E173D8">
        <w:rPr>
          <w:rFonts w:ascii="IBM Plex Sans" w:hAnsi="IBM Plex Sans"/>
          <w:lang w:val="en-US"/>
        </w:rPr>
        <w:br/>
      </w:r>
      <w:r w:rsidR="00E173D8" w:rsidRPr="00E173D8">
        <w:rPr>
          <w:rFonts w:ascii="IBM Plex Sans" w:hAnsi="IBM Plex Sans"/>
          <w:lang w:val="en-US"/>
        </w:rPr>
        <w:drawing>
          <wp:inline distT="0" distB="0" distL="0" distR="0" wp14:anchorId="27B10268" wp14:editId="44DD1A56">
            <wp:extent cx="4874821" cy="12249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0165" cy="122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EA7" w:rsidRDefault="00B00EA7" w:rsidP="003F1A59">
      <w:pPr>
        <w:rPr>
          <w:rFonts w:ascii="IBM Plex Sans" w:hAnsi="IBM Plex Sans"/>
          <w:lang w:val="en-US"/>
        </w:rPr>
      </w:pPr>
      <w:r>
        <w:rPr>
          <w:rFonts w:ascii="IBM Plex Sans" w:hAnsi="IBM Plex Sans"/>
          <w:lang w:val="en-US"/>
        </w:rPr>
        <w:lastRenderedPageBreak/>
        <w:t>Before we delete the "Staff &amp; Sales Receipts" we need to capture the Table Identifier. To do this go to the properties of your view and from the properties window click "Advanced"</w:t>
      </w:r>
      <w:r>
        <w:rPr>
          <w:rFonts w:ascii="IBM Plex Sans" w:hAnsi="IBM Plex Sans"/>
          <w:lang w:val="en-US"/>
        </w:rPr>
        <w:br/>
      </w:r>
      <w:r w:rsidRPr="00B00EA7">
        <w:rPr>
          <w:rFonts w:ascii="IBM Plex Sans" w:hAnsi="IBM Plex Sans"/>
          <w:lang w:val="en-US"/>
        </w:rPr>
        <w:drawing>
          <wp:inline distT="0" distB="0" distL="0" distR="0" wp14:anchorId="14294C00" wp14:editId="425E7303">
            <wp:extent cx="4993574" cy="2321799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5150" cy="232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A59" w:rsidRDefault="00B00EA7" w:rsidP="003F1A59">
      <w:pPr>
        <w:rPr>
          <w:rFonts w:ascii="IBM Plex Sans" w:hAnsi="IBM Plex Sans"/>
          <w:i/>
          <w:iCs/>
          <w:lang w:val="en-US"/>
        </w:rPr>
      </w:pPr>
      <w:r>
        <w:rPr>
          <w:rFonts w:ascii="IBM Plex Sans" w:hAnsi="IBM Plex Sans"/>
          <w:lang w:val="en-US"/>
        </w:rPr>
        <w:br/>
        <w:t>Copy the Identifier field, then delete the view, in this case, we will delete the Staff &amp; Sales Receipts view.</w:t>
      </w:r>
      <w:r>
        <w:rPr>
          <w:rFonts w:ascii="IBM Plex Sans" w:hAnsi="IBM Plex Sans"/>
          <w:lang w:val="en-US"/>
        </w:rPr>
        <w:br/>
      </w:r>
      <w:r w:rsidRPr="00B00EA7">
        <w:rPr>
          <w:rFonts w:ascii="IBM Plex Sans" w:hAnsi="IBM Plex Sans"/>
          <w:i/>
          <w:iCs/>
          <w:lang w:val="en-US"/>
        </w:rPr>
        <w:t>*You need to delete the view first before you can update the new view's identifier field as the identifier filed must be unique*</w:t>
      </w:r>
      <w:r>
        <w:rPr>
          <w:rFonts w:ascii="IBM Plex Sans" w:hAnsi="IBM Plex Sans"/>
          <w:i/>
          <w:iCs/>
          <w:lang w:val="en-US"/>
        </w:rPr>
        <w:br/>
      </w:r>
      <w:r w:rsidRPr="00B00EA7">
        <w:rPr>
          <w:rFonts w:ascii="IBM Plex Sans" w:hAnsi="IBM Plex Sans"/>
          <w:lang w:val="en-US"/>
        </w:rPr>
        <w:drawing>
          <wp:inline distT="0" distB="0" distL="0" distR="0" wp14:anchorId="6AF97FDB" wp14:editId="46C75AB2">
            <wp:extent cx="4595751" cy="34522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712" cy="34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EA7" w:rsidRDefault="00B00EA7" w:rsidP="003F1A59">
      <w:pPr>
        <w:rPr>
          <w:rFonts w:ascii="IBM Plex Sans" w:hAnsi="IBM Plex Sans"/>
          <w:i/>
          <w:iCs/>
          <w:lang w:val="en-US"/>
        </w:rPr>
      </w:pPr>
    </w:p>
    <w:p w:rsidR="00B00EA7" w:rsidRDefault="00B00EA7" w:rsidP="003F1A59">
      <w:pPr>
        <w:rPr>
          <w:rFonts w:ascii="IBM Plex Sans" w:hAnsi="IBM Plex Sans"/>
          <w:i/>
          <w:iCs/>
          <w:lang w:val="en-US"/>
        </w:rPr>
      </w:pPr>
    </w:p>
    <w:p w:rsidR="00B00EA7" w:rsidRDefault="00B00EA7" w:rsidP="003F1A59">
      <w:pPr>
        <w:rPr>
          <w:rFonts w:ascii="IBM Plex Sans" w:hAnsi="IBM Plex Sans"/>
          <w:i/>
          <w:iCs/>
          <w:lang w:val="en-US"/>
        </w:rPr>
      </w:pPr>
    </w:p>
    <w:p w:rsidR="00B00EA7" w:rsidRDefault="00B00EA7" w:rsidP="003F1A59">
      <w:pPr>
        <w:rPr>
          <w:rFonts w:ascii="IBM Plex Sans" w:hAnsi="IBM Plex Sans"/>
          <w:lang w:val="en-US"/>
        </w:rPr>
      </w:pPr>
      <w:r>
        <w:rPr>
          <w:rFonts w:ascii="IBM Plex Sans" w:hAnsi="IBM Plex Sans"/>
          <w:lang w:val="en-US"/>
        </w:rPr>
        <w:lastRenderedPageBreak/>
        <w:t xml:space="preserve">Once the view has been deleted, go to the properties of the </w:t>
      </w:r>
      <w:r>
        <w:rPr>
          <w:rFonts w:ascii="IBM Plex Sans" w:hAnsi="IBM Plex Sans"/>
          <w:lang w:val="en-US"/>
        </w:rPr>
        <w:t>"Staff &amp; Customer &amp; Sales Receipt"</w:t>
      </w:r>
      <w:r>
        <w:rPr>
          <w:rFonts w:ascii="IBM Plex Sans" w:hAnsi="IBM Plex Sans"/>
          <w:lang w:val="en-US"/>
        </w:rPr>
        <w:t xml:space="preserve"> and update the Identifier field we copied from the original view.</w:t>
      </w:r>
      <w:r>
        <w:rPr>
          <w:rFonts w:ascii="IBM Plex Sans" w:hAnsi="IBM Plex Sans"/>
          <w:lang w:val="en-US"/>
        </w:rPr>
        <w:br/>
      </w:r>
      <w:r w:rsidRPr="00B00EA7">
        <w:rPr>
          <w:rFonts w:ascii="IBM Plex Sans" w:hAnsi="IBM Plex Sans"/>
          <w:lang w:val="en-US"/>
        </w:rPr>
        <w:drawing>
          <wp:inline distT="0" distB="0" distL="0" distR="0" wp14:anchorId="58B83E1B" wp14:editId="0704FE9A">
            <wp:extent cx="5296395" cy="2334714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3336" cy="233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EA7" w:rsidRDefault="00B00EA7" w:rsidP="003F1A59">
      <w:pPr>
        <w:rPr>
          <w:rFonts w:ascii="IBM Plex Sans" w:hAnsi="IBM Plex Sans"/>
          <w:lang w:val="en-US"/>
        </w:rPr>
      </w:pPr>
    </w:p>
    <w:p w:rsidR="00B00EA7" w:rsidRDefault="00B00EA7" w:rsidP="003F1A59">
      <w:pPr>
        <w:rPr>
          <w:rFonts w:ascii="IBM Plex Sans" w:hAnsi="IBM Plex Sans"/>
          <w:lang w:val="en-US"/>
        </w:rPr>
      </w:pPr>
      <w:r>
        <w:rPr>
          <w:rFonts w:ascii="IBM Plex Sans" w:hAnsi="IBM Plex Sans"/>
          <w:lang w:val="en-US"/>
        </w:rPr>
        <w:t xml:space="preserve">Lastly, Save the model and validate your reports. </w:t>
      </w:r>
      <w:r>
        <w:rPr>
          <w:rFonts w:ascii="IBM Plex Sans" w:hAnsi="IBM Plex Sans"/>
          <w:lang w:val="en-US"/>
        </w:rPr>
        <w:br/>
      </w:r>
    </w:p>
    <w:p w:rsidR="00B00EA7" w:rsidRDefault="00184335" w:rsidP="003F1A59">
      <w:pPr>
        <w:rPr>
          <w:rFonts w:ascii="IBM Plex Sans" w:hAnsi="IBM Plex Sans"/>
          <w:lang w:val="en-US"/>
        </w:rPr>
      </w:pPr>
      <w:r>
        <w:rPr>
          <w:rFonts w:ascii="IBM Plex Sans" w:hAnsi="IBM Plex Sans"/>
          <w:lang w:val="en-US"/>
        </w:rPr>
        <w:t xml:space="preserve">To </w:t>
      </w:r>
      <w:r w:rsidR="00B00EA7">
        <w:rPr>
          <w:rFonts w:ascii="IBM Plex Sans" w:hAnsi="IBM Plex Sans"/>
          <w:lang w:val="en-US"/>
        </w:rPr>
        <w:t xml:space="preserve">prove out the solution, I </w:t>
      </w:r>
      <w:r>
        <w:rPr>
          <w:rFonts w:ascii="IBM Plex Sans" w:hAnsi="IBM Plex Sans"/>
          <w:lang w:val="en-US"/>
        </w:rPr>
        <w:t xml:space="preserve">initially </w:t>
      </w:r>
      <w:r w:rsidR="00B00EA7">
        <w:rPr>
          <w:rFonts w:ascii="IBM Plex Sans" w:hAnsi="IBM Plex Sans"/>
          <w:lang w:val="en-US"/>
        </w:rPr>
        <w:t xml:space="preserve">created a report using the </w:t>
      </w:r>
      <w:r w:rsidR="00B00EA7">
        <w:rPr>
          <w:rFonts w:ascii="IBM Plex Sans" w:hAnsi="IBM Plex Sans"/>
          <w:lang w:val="en-US"/>
        </w:rPr>
        <w:t>"Staff &amp; Sales Receipt"</w:t>
      </w:r>
      <w:r w:rsidR="00B00EA7">
        <w:rPr>
          <w:rFonts w:ascii="IBM Plex Sans" w:hAnsi="IBM Plex Sans"/>
          <w:lang w:val="en-US"/>
        </w:rPr>
        <w:t xml:space="preserve"> and after </w:t>
      </w:r>
      <w:r>
        <w:rPr>
          <w:rFonts w:ascii="IBM Plex Sans" w:hAnsi="IBM Plex Sans"/>
          <w:lang w:val="en-US"/>
        </w:rPr>
        <w:t>updating the data</w:t>
      </w:r>
      <w:r w:rsidR="00B00EA7">
        <w:rPr>
          <w:rFonts w:ascii="IBM Plex Sans" w:hAnsi="IBM Plex Sans"/>
          <w:lang w:val="en-US"/>
        </w:rPr>
        <w:t xml:space="preserve"> module to create the new </w:t>
      </w:r>
      <w:r w:rsidR="00B00EA7">
        <w:rPr>
          <w:rFonts w:ascii="IBM Plex Sans" w:hAnsi="IBM Plex Sans"/>
          <w:lang w:val="en-US"/>
        </w:rPr>
        <w:t>"Staff &amp; Customer &amp; Sales Receipt"</w:t>
      </w:r>
      <w:r w:rsidR="00B00EA7">
        <w:rPr>
          <w:rFonts w:ascii="IBM Plex Sans" w:hAnsi="IBM Plex Sans"/>
          <w:lang w:val="en-US"/>
        </w:rPr>
        <w:t xml:space="preserve"> view, you can screen from the below screenshot, that the data item references are the same:</w:t>
      </w:r>
      <w:r w:rsidR="00B00EA7">
        <w:rPr>
          <w:rFonts w:ascii="IBM Plex Sans" w:hAnsi="IBM Plex Sans"/>
          <w:lang w:val="en-US"/>
        </w:rPr>
        <w:br/>
      </w:r>
      <w:r w:rsidRPr="00184335">
        <w:rPr>
          <w:rFonts w:ascii="IBM Plex Sans" w:hAnsi="IBM Plex Sans"/>
          <w:lang w:val="en-US"/>
        </w:rPr>
        <w:drawing>
          <wp:inline distT="0" distB="0" distL="0" distR="0" wp14:anchorId="0D08E81D" wp14:editId="58D861CA">
            <wp:extent cx="5201392" cy="292467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9041" cy="292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15" w:rsidRDefault="002C4515" w:rsidP="003F1A59">
      <w:pPr>
        <w:rPr>
          <w:rFonts w:ascii="IBM Plex Sans" w:hAnsi="IBM Plex Sans"/>
          <w:lang w:val="en-US"/>
        </w:rPr>
      </w:pPr>
    </w:p>
    <w:p w:rsidR="002C4515" w:rsidRPr="002C4515" w:rsidRDefault="002C4515" w:rsidP="003F1A59">
      <w:pPr>
        <w:rPr>
          <w:rFonts w:ascii="IBM Plex Sans" w:hAnsi="IBM Plex Sans"/>
          <w:i/>
          <w:iCs/>
          <w:lang w:val="en-US"/>
        </w:rPr>
      </w:pPr>
      <w:r w:rsidRPr="002C4515">
        <w:rPr>
          <w:rFonts w:ascii="IBM Plex Sans" w:hAnsi="IBM Plex Sans"/>
          <w:i/>
          <w:iCs/>
          <w:lang w:val="en-US"/>
        </w:rPr>
        <w:t>Note Any additional modeling did</w:t>
      </w:r>
      <w:bookmarkStart w:id="1" w:name="_GoBack"/>
      <w:bookmarkEnd w:id="1"/>
      <w:r w:rsidRPr="002C4515">
        <w:rPr>
          <w:rFonts w:ascii="IBM Plex Sans" w:hAnsi="IBM Plex Sans"/>
          <w:i/>
          <w:iCs/>
          <w:lang w:val="en-US"/>
        </w:rPr>
        <w:t xml:space="preserve"> after the fact, such as joins or calculations, will need to be remodeled.</w:t>
      </w:r>
    </w:p>
    <w:sectPr w:rsidR="002C4515" w:rsidRPr="002C4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BM Plex Sans"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De2sDAwMTQ2NzJW0lEKTi0uzszPAykwrAUAPtpo7CwAAAA="/>
  </w:docVars>
  <w:rsids>
    <w:rsidRoot w:val="003F1A59"/>
    <w:rsid w:val="00184335"/>
    <w:rsid w:val="002C4515"/>
    <w:rsid w:val="003F1A59"/>
    <w:rsid w:val="009A4C94"/>
    <w:rsid w:val="00B00EA7"/>
    <w:rsid w:val="00E173D8"/>
    <w:rsid w:val="00F8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2A6C"/>
  <w15:chartTrackingRefBased/>
  <w15:docId w15:val="{47915CFD-AA01-42C7-B8C6-143B18ED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A59"/>
    <w:pPr>
      <w:keepNext/>
      <w:keepLines/>
      <w:spacing w:before="40" w:after="0" w:line="360" w:lineRule="auto"/>
      <w:outlineLvl w:val="1"/>
    </w:pPr>
    <w:rPr>
      <w:rFonts w:ascii="IBM Plex Sans" w:eastAsiaTheme="majorEastAsia" w:hAnsi="IBM Plex Sans" w:cstheme="majorHAnsi"/>
      <w:b/>
      <w:color w:val="000000" w:themeColor="tex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1A59"/>
    <w:rPr>
      <w:rFonts w:ascii="IBM Plex Sans" w:eastAsiaTheme="majorEastAsia" w:hAnsi="IBM Plex Sans" w:cstheme="majorHAnsi"/>
      <w:b/>
      <w:color w:val="000000" w:themeColor="text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66B4-5549-4E9B-91CA-FC0529A5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Narezny</dc:creator>
  <cp:keywords/>
  <dc:description/>
  <cp:lastModifiedBy>Denny Narezny</cp:lastModifiedBy>
  <cp:revision>6</cp:revision>
  <dcterms:created xsi:type="dcterms:W3CDTF">2020-03-25T12:52:00Z</dcterms:created>
  <dcterms:modified xsi:type="dcterms:W3CDTF">2020-03-25T15:23:00Z</dcterms:modified>
</cp:coreProperties>
</file>